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9"/>
        <w:ind w:hanging="0" w:left="360" w:right="0"/>
        <w:jc w:val="center"/>
      </w:pPr>
      <w:r>
        <w:rPr>
          <w:rFonts w:ascii="Times New Roman" w:hAnsi="Times New Roman"/>
          <w:b/>
          <w:sz w:val="20"/>
          <w:szCs w:val="20"/>
        </w:rPr>
        <w:t>АГЕНТСКИЙ ДОГОВОР № ________</w:t>
      </w:r>
    </w:p>
    <w:p>
      <w:pPr>
        <w:pStyle w:val="style0"/>
        <w:jc w:val="both"/>
      </w:pPr>
      <w:r>
        <w:rPr>
          <w:sz w:val="20"/>
          <w:szCs w:val="20"/>
        </w:rPr>
      </w:r>
    </w:p>
    <w:p>
      <w:pPr>
        <w:pStyle w:val="style49"/>
        <w:ind w:hanging="0" w:left="360" w:right="0"/>
        <w:jc w:val="both"/>
      </w:pPr>
      <w:r>
        <w:rPr>
          <w:rFonts w:ascii="Times New Roman" w:hAnsi="Times New Roman"/>
          <w:sz w:val="20"/>
          <w:szCs w:val="20"/>
        </w:rPr>
        <w:t>г. Сочи</w:t>
        <w:tab/>
        <w:tab/>
        <w:tab/>
        <w:tab/>
        <w:tab/>
        <w:tab/>
        <w:tab/>
        <w:tab/>
        <w:tab/>
        <w:t xml:space="preserve"> «_____»__________ 2015г.</w:t>
      </w:r>
    </w:p>
    <w:p>
      <w:pPr>
        <w:pStyle w:val="style0"/>
        <w:jc w:val="both"/>
      </w:pPr>
      <w:r>
        <w:rPr>
          <w:sz w:val="20"/>
          <w:szCs w:val="20"/>
        </w:rPr>
      </w:r>
    </w:p>
    <w:p>
      <w:pPr>
        <w:pStyle w:val="style49"/>
        <w:ind w:hanging="0" w:left="360" w:right="0"/>
        <w:jc w:val="both"/>
      </w:pPr>
      <w:r>
        <w:rPr>
          <w:rFonts w:ascii="Times New Roman" w:hAnsi="Times New Roman"/>
          <w:sz w:val="20"/>
          <w:szCs w:val="20"/>
        </w:rPr>
        <w:t>Общество с ограниченной ответственностью "Топ проджект", именуемое в дальнейшем Принципал, в лице Генерального директора Колпина Александра Львовича, действующего на основании Устава, с одной стороны, и Общество с ограниченной ответственностью «Библио Глобус ЮГ», именуемое в дальнейшем Агент, в лице Генерального директора Войтовича Сергея Михайловича, действующего на основании Устава, с другой стороны, заключили настоящий договор о нижеследующем:</w:t>
      </w:r>
    </w:p>
    <w:p>
      <w:pPr>
        <w:pStyle w:val="style0"/>
        <w:jc w:val="both"/>
      </w:pPr>
      <w:r>
        <w:rPr>
          <w:sz w:val="20"/>
          <w:szCs w:val="20"/>
        </w:rPr>
      </w:r>
    </w:p>
    <w:p>
      <w:pPr>
        <w:pStyle w:val="style49"/>
        <w:ind w:hanging="0" w:left="360" w:right="0"/>
        <w:jc w:val="center"/>
      </w:pPr>
      <w:r>
        <w:rPr>
          <w:rFonts w:ascii="Times New Roman" w:hAnsi="Times New Roman"/>
          <w:b/>
          <w:sz w:val="20"/>
          <w:szCs w:val="20"/>
        </w:rPr>
        <w:t>ТЕРМИНЫ И ОПРЕДЕЛЕНИЯ</w:t>
      </w:r>
    </w:p>
    <w:p>
      <w:pPr>
        <w:pStyle w:val="style49"/>
        <w:ind w:firstLine="348" w:left="360" w:right="0"/>
        <w:jc w:val="both"/>
      </w:pPr>
      <w:r>
        <w:rPr>
          <w:rFonts w:ascii="Times New Roman" w:hAnsi="Times New Roman"/>
          <w:b/>
          <w:sz w:val="20"/>
          <w:szCs w:val="20"/>
        </w:rPr>
        <w:t>Заявка на бронирование номеров/услуг</w:t>
      </w:r>
      <w:r>
        <w:rPr>
          <w:rFonts w:ascii="Times New Roman" w:hAnsi="Times New Roman"/>
          <w:sz w:val="20"/>
          <w:szCs w:val="20"/>
        </w:rPr>
        <w:t xml:space="preserve"> – письменный документ, направляемый Агентом Принципалу с целью бронирования номеров/услуг в Гостинице и получения подтверждения или отказа в подтверждении размещения Индивидуальных туристов/Групп туристов в Гостинице и оказания услуг индивидуальным туристам/группам туристов Агента в определенный срок и на определенных условиях.  </w:t>
      </w:r>
    </w:p>
    <w:p>
      <w:pPr>
        <w:pStyle w:val="style49"/>
        <w:ind w:firstLine="348" w:left="360" w:right="0"/>
        <w:jc w:val="both"/>
      </w:pPr>
      <w:r>
        <w:rPr>
          <w:rFonts w:ascii="Times New Roman" w:hAnsi="Times New Roman"/>
          <w:b/>
          <w:sz w:val="20"/>
          <w:szCs w:val="20"/>
        </w:rPr>
        <w:t>Индивидуальный турист</w:t>
      </w:r>
      <w:r>
        <w:rPr>
          <w:rFonts w:ascii="Times New Roman" w:hAnsi="Times New Roman"/>
          <w:sz w:val="20"/>
          <w:szCs w:val="20"/>
        </w:rPr>
        <w:t xml:space="preserve"> – физическое лицо, купившее тур у Агента и направляемое Агентом для размещения в Гостинице.  </w:t>
      </w:r>
    </w:p>
    <w:p>
      <w:pPr>
        <w:pStyle w:val="style49"/>
        <w:ind w:firstLine="348" w:left="360" w:right="0"/>
        <w:jc w:val="both"/>
      </w:pPr>
      <w:r>
        <w:rPr>
          <w:rFonts w:ascii="Times New Roman" w:hAnsi="Times New Roman"/>
          <w:b/>
          <w:sz w:val="20"/>
          <w:szCs w:val="20"/>
        </w:rPr>
        <w:t>Группа туристов</w:t>
      </w:r>
      <w:r>
        <w:rPr>
          <w:rFonts w:ascii="Times New Roman" w:hAnsi="Times New Roman"/>
          <w:sz w:val="20"/>
          <w:szCs w:val="20"/>
        </w:rPr>
        <w:t xml:space="preserve"> – группа физических лиц, купивших туры у Агента и направляемых Агентом для размещения в Гостинице в рамках одной Заявки.</w:t>
      </w:r>
    </w:p>
    <w:p>
      <w:pPr>
        <w:pStyle w:val="style49"/>
        <w:ind w:firstLine="348" w:left="360" w:right="0"/>
        <w:jc w:val="both"/>
      </w:pPr>
      <w:r>
        <w:rPr>
          <w:rFonts w:ascii="Times New Roman" w:hAnsi="Times New Roman"/>
          <w:b/>
          <w:sz w:val="20"/>
          <w:szCs w:val="20"/>
        </w:rPr>
        <w:t>Гостиничные услуги</w:t>
      </w:r>
      <w:r>
        <w:rPr>
          <w:rFonts w:ascii="Times New Roman" w:hAnsi="Times New Roman"/>
          <w:sz w:val="20"/>
          <w:szCs w:val="20"/>
        </w:rPr>
        <w:t xml:space="preserve"> – услуги по размещению и питанию, а также дополнительные услуги, включая экскурсионные и услуги по перевозке, оказываемые Принципалом или сторонними организациями, но заказываемые Принципалом.</w:t>
      </w:r>
    </w:p>
    <w:p>
      <w:pPr>
        <w:pStyle w:val="style49"/>
        <w:ind w:firstLine="348" w:left="360" w:right="0"/>
        <w:jc w:val="both"/>
      </w:pPr>
      <w:r>
        <w:rPr>
          <w:rFonts w:ascii="Times New Roman" w:hAnsi="Times New Roman"/>
          <w:b/>
          <w:sz w:val="20"/>
          <w:szCs w:val="20"/>
        </w:rPr>
        <w:t>Гостиница</w:t>
      </w:r>
      <w:r>
        <w:rPr>
          <w:rFonts w:ascii="Times New Roman" w:hAnsi="Times New Roman"/>
          <w:sz w:val="20"/>
          <w:szCs w:val="20"/>
        </w:rPr>
        <w:t xml:space="preserve"> - Гостиничный комплекс, включающий Гостиницу и Апартаментный комплекс 3* "АЗИМУТ Отель Сочи"/"Azimut Hotel Sochi ", расположенный по адресу: Краснодарский край, г. Сочи, Адлерский район, просп. Континентальный, д. 6.</w:t>
      </w:r>
    </w:p>
    <w:p>
      <w:pPr>
        <w:pStyle w:val="style0"/>
        <w:jc w:val="both"/>
      </w:pPr>
      <w:r>
        <w:rPr>
          <w:sz w:val="20"/>
          <w:szCs w:val="20"/>
        </w:rPr>
      </w:r>
    </w:p>
    <w:p>
      <w:pPr>
        <w:pStyle w:val="style0"/>
        <w:jc w:val="both"/>
      </w:pPr>
      <w:r>
        <w:rPr>
          <w:sz w:val="20"/>
          <w:szCs w:val="20"/>
        </w:rPr>
      </w:r>
    </w:p>
    <w:p>
      <w:pPr>
        <w:pStyle w:val="style49"/>
        <w:numPr>
          <w:ilvl w:val="0"/>
          <w:numId w:val="2"/>
        </w:numPr>
        <w:jc w:val="center"/>
      </w:pPr>
      <w:r>
        <w:rPr>
          <w:rFonts w:ascii="Times New Roman" w:hAnsi="Times New Roman"/>
          <w:b/>
          <w:sz w:val="20"/>
          <w:szCs w:val="20"/>
        </w:rPr>
        <w:t>ПРЕДМЕТ ДОГОВОРА.</w:t>
      </w:r>
    </w:p>
    <w:p>
      <w:pPr>
        <w:pStyle w:val="style0"/>
        <w:jc w:val="both"/>
      </w:pPr>
      <w:r>
        <w:rPr>
          <w:sz w:val="20"/>
          <w:szCs w:val="20"/>
        </w:rPr>
      </w:r>
    </w:p>
    <w:p>
      <w:pPr>
        <w:pStyle w:val="style49"/>
        <w:numPr>
          <w:ilvl w:val="1"/>
          <w:numId w:val="2"/>
        </w:numPr>
        <w:jc w:val="both"/>
      </w:pPr>
      <w:r>
        <w:rPr>
          <w:rFonts w:ascii="Times New Roman" w:hAnsi="Times New Roman"/>
          <w:sz w:val="20"/>
          <w:szCs w:val="20"/>
        </w:rPr>
        <w:t>Принципал обязуется оказывать услуги по размещению Индивидуальных туристов / групп туристов, направляемых Агентом в соответствии с принятыми Принципалом заявками.</w:t>
      </w:r>
    </w:p>
    <w:p>
      <w:pPr>
        <w:pStyle w:val="style49"/>
        <w:numPr>
          <w:ilvl w:val="1"/>
          <w:numId w:val="2"/>
        </w:numPr>
        <w:jc w:val="both"/>
      </w:pPr>
      <w:r>
        <w:rPr>
          <w:rFonts w:ascii="Times New Roman" w:hAnsi="Times New Roman"/>
          <w:sz w:val="20"/>
          <w:szCs w:val="20"/>
        </w:rPr>
        <w:t>Агент обязуется по поручению Принципала и от своего имени осуществлять реализацию юридическим и физическим лицам гостиничных услуг Принципала в порядке и на условиях, предусмотренных настоящим Договором.</w:t>
      </w:r>
    </w:p>
    <w:p>
      <w:pPr>
        <w:pStyle w:val="style49"/>
        <w:numPr>
          <w:ilvl w:val="1"/>
          <w:numId w:val="2"/>
        </w:numPr>
        <w:jc w:val="both"/>
      </w:pPr>
      <w:r>
        <w:rPr>
          <w:rFonts w:ascii="Times New Roman" w:hAnsi="Times New Roman"/>
          <w:sz w:val="20"/>
          <w:szCs w:val="20"/>
        </w:rPr>
        <w:t>Агент обязуется принять и оплатить предоставленные Принципалом Гостиничные услуги в порядке и на условиях, предусмотренных Договором.</w:t>
      </w:r>
    </w:p>
    <w:p>
      <w:pPr>
        <w:pStyle w:val="style0"/>
        <w:jc w:val="both"/>
      </w:pPr>
      <w:r>
        <w:rPr>
          <w:sz w:val="20"/>
          <w:szCs w:val="20"/>
        </w:rPr>
      </w:r>
    </w:p>
    <w:p>
      <w:pPr>
        <w:pStyle w:val="style49"/>
        <w:numPr>
          <w:ilvl w:val="0"/>
          <w:numId w:val="2"/>
        </w:numPr>
        <w:jc w:val="center"/>
      </w:pPr>
      <w:r>
        <w:rPr>
          <w:rFonts w:ascii="Times New Roman" w:hAnsi="Times New Roman"/>
          <w:b/>
          <w:sz w:val="20"/>
          <w:szCs w:val="20"/>
        </w:rPr>
        <w:t>ПРАВА и ОБЯЗАННОСТИ СТОРОН.</w:t>
      </w:r>
    </w:p>
    <w:p>
      <w:pPr>
        <w:pStyle w:val="style49"/>
        <w:numPr>
          <w:ilvl w:val="1"/>
          <w:numId w:val="2"/>
        </w:numPr>
        <w:jc w:val="both"/>
      </w:pPr>
      <w:r>
        <w:rPr>
          <w:rFonts w:ascii="Times New Roman" w:hAnsi="Times New Roman"/>
          <w:sz w:val="20"/>
          <w:szCs w:val="20"/>
        </w:rPr>
        <w:t>Принципал обязуется:</w:t>
      </w:r>
    </w:p>
    <w:p>
      <w:pPr>
        <w:pStyle w:val="style49"/>
        <w:numPr>
          <w:ilvl w:val="2"/>
          <w:numId w:val="2"/>
        </w:numPr>
        <w:jc w:val="both"/>
      </w:pPr>
      <w:r>
        <w:rPr>
          <w:rFonts w:ascii="Times New Roman" w:hAnsi="Times New Roman"/>
          <w:sz w:val="20"/>
          <w:szCs w:val="20"/>
        </w:rPr>
        <w:t>На основании Заявки Агента, направленной в соответствии с Договором, осуществить бронирование и предоставить Агенту запрашиваемый набор услуг на условиях, определяемых договором. Бронирование номеров по количеству и категориям осуществляется только при наличии свободных номеров в течение требуемого периода с обязательным подтверждением от Принципала.</w:t>
      </w:r>
    </w:p>
    <w:p>
      <w:pPr>
        <w:pStyle w:val="style49"/>
        <w:numPr>
          <w:ilvl w:val="2"/>
          <w:numId w:val="2"/>
        </w:numPr>
        <w:jc w:val="both"/>
      </w:pPr>
      <w:r>
        <w:rPr>
          <w:rFonts w:ascii="Times New Roman" w:hAnsi="Times New Roman"/>
          <w:sz w:val="20"/>
          <w:szCs w:val="20"/>
        </w:rPr>
        <w:t>Обеспечивать полную готовность номеров к размещению Индивидуальных туристов/Групп туристов.</w:t>
      </w:r>
    </w:p>
    <w:p>
      <w:pPr>
        <w:pStyle w:val="style49"/>
        <w:numPr>
          <w:ilvl w:val="2"/>
          <w:numId w:val="2"/>
        </w:numPr>
        <w:jc w:val="both"/>
      </w:pPr>
      <w:r>
        <w:rPr>
          <w:rFonts w:ascii="Times New Roman" w:hAnsi="Times New Roman"/>
          <w:sz w:val="20"/>
          <w:szCs w:val="20"/>
        </w:rPr>
        <w:t>Обеспечивать качество предоставляемых Гостиничных услуг в соответствии с «Правилами проживания в Гостинице», утвержденными внутренним приказом по отелю.</w:t>
      </w:r>
    </w:p>
    <w:p>
      <w:pPr>
        <w:pStyle w:val="style49"/>
        <w:numPr>
          <w:ilvl w:val="2"/>
          <w:numId w:val="2"/>
        </w:numPr>
        <w:jc w:val="both"/>
      </w:pPr>
      <w:r>
        <w:rPr>
          <w:rFonts w:ascii="Times New Roman" w:hAnsi="Times New Roman"/>
          <w:sz w:val="20"/>
          <w:szCs w:val="20"/>
        </w:rPr>
        <w:t>Письменно уведомлять Агента об изменении тарифов на Гостиничные услуги не позднее, чем за 30 (тридцать) календарных дней до даты начала действия новых тарифов. При этом услуги по ранее подтвержденным Заявкам оказываются в соответствии с тарифами, действующими на дату принятия этих Заявок. Если в течение 10 (десяти) календарных дней с момента отправки Принципалом Агенту уведомления об изменении тарифов в адрес Принципаля не поступит каких-либо возражений со стороны Агента, все тарифы и условия, содержащиеся в уведомлении, считаются принятыми Агентом в полном объеме, становятся обязательными для исполнения. В случае наличия разногласий между Сторонами, введение новых тарифов оформляется Сторонами путем подписания дополнительного соглашения к Договору.</w:t>
      </w:r>
    </w:p>
    <w:p>
      <w:pPr>
        <w:pStyle w:val="style49"/>
        <w:numPr>
          <w:ilvl w:val="2"/>
          <w:numId w:val="2"/>
        </w:numPr>
        <w:jc w:val="both"/>
      </w:pPr>
      <w:r>
        <w:rPr>
          <w:rFonts w:ascii="Times New Roman" w:hAnsi="Times New Roman"/>
          <w:sz w:val="20"/>
          <w:szCs w:val="20"/>
        </w:rPr>
        <w:t>В случае невозможности предоставления услуг в соответствии с Заявкой, предоставить Индивидуальным туристам/Группе туристов, направленным Агентом, равноценные услуги без снижения класса обслуживания в другой гостинице.</w:t>
      </w:r>
    </w:p>
    <w:p>
      <w:pPr>
        <w:pStyle w:val="style49"/>
        <w:numPr>
          <w:ilvl w:val="1"/>
          <w:numId w:val="2"/>
        </w:numPr>
        <w:jc w:val="both"/>
      </w:pPr>
      <w:r>
        <w:rPr>
          <w:rFonts w:ascii="Times New Roman" w:hAnsi="Times New Roman"/>
          <w:sz w:val="20"/>
          <w:szCs w:val="20"/>
        </w:rPr>
        <w:t>Принципал имеет право:</w:t>
      </w:r>
    </w:p>
    <w:p>
      <w:pPr>
        <w:pStyle w:val="style49"/>
        <w:numPr>
          <w:ilvl w:val="2"/>
          <w:numId w:val="2"/>
        </w:numPr>
        <w:jc w:val="both"/>
      </w:pPr>
      <w:r>
        <w:rPr>
          <w:rFonts w:ascii="Times New Roman" w:hAnsi="Times New Roman"/>
          <w:sz w:val="20"/>
          <w:szCs w:val="20"/>
        </w:rPr>
        <w:t xml:space="preserve">Отказать Агенту в бронировании при отсутствии свободных номеров, а также в случае неисполнения Агентом встречных обязательств по настоящему Договору, в т.ч. условий бронирования и оплаты. </w:t>
      </w:r>
    </w:p>
    <w:p>
      <w:pPr>
        <w:pStyle w:val="style49"/>
        <w:numPr>
          <w:ilvl w:val="1"/>
          <w:numId w:val="2"/>
        </w:numPr>
        <w:jc w:val="both"/>
      </w:pPr>
      <w:r>
        <w:rPr>
          <w:rFonts w:ascii="Times New Roman" w:hAnsi="Times New Roman"/>
          <w:sz w:val="20"/>
          <w:szCs w:val="20"/>
        </w:rPr>
        <w:t>Агент обязуется:</w:t>
      </w:r>
    </w:p>
    <w:p>
      <w:pPr>
        <w:pStyle w:val="style49"/>
        <w:numPr>
          <w:ilvl w:val="2"/>
          <w:numId w:val="2"/>
        </w:numPr>
        <w:jc w:val="both"/>
      </w:pPr>
      <w:r>
        <w:rPr>
          <w:rFonts w:ascii="Times New Roman" w:hAnsi="Times New Roman"/>
          <w:sz w:val="20"/>
          <w:szCs w:val="20"/>
        </w:rPr>
        <w:t>В письменном виде направлять Принципалу Заявки на приобретение Гостиничных услуг для своих туристов в форме и в порядке, предусмотренном п. 2.3.2. договора.</w:t>
      </w:r>
    </w:p>
    <w:p>
      <w:pPr>
        <w:pStyle w:val="style49"/>
        <w:numPr>
          <w:ilvl w:val="2"/>
          <w:numId w:val="2"/>
        </w:numPr>
        <w:jc w:val="both"/>
      </w:pPr>
      <w:r>
        <w:rPr>
          <w:rFonts w:ascii="Times New Roman" w:hAnsi="Times New Roman"/>
          <w:sz w:val="20"/>
          <w:szCs w:val="20"/>
        </w:rPr>
        <w:t>Заявка на бронирование считается поданной надлежащим образом, если содержит следующую информацию: дата и время заезда, дата выезда, количество номеров каждой категории, количество гостей в каждом номере, возраст детей в случае их проживания, способ оплаты, ссылка на договор с указанием юридического названия Агента, дополнительные услуги, подлежащие оплате Агентом.</w:t>
      </w:r>
    </w:p>
    <w:p>
      <w:pPr>
        <w:pStyle w:val="style49"/>
        <w:numPr>
          <w:ilvl w:val="2"/>
          <w:numId w:val="2"/>
        </w:numPr>
        <w:jc w:val="both"/>
      </w:pPr>
      <w:r>
        <w:rPr>
          <w:rFonts w:ascii="Times New Roman" w:hAnsi="Times New Roman"/>
          <w:sz w:val="20"/>
          <w:szCs w:val="20"/>
        </w:rPr>
        <w:t xml:space="preserve">В случае необходимости внесения изменений и дополнений в подтвержденные Заявки и списки туристов своевременно и в письменном виде направлять такие изменения Принципалу. Изменения и дополнения в забронированных услугах считаются принятыми лишь с письменного согласия Принципала.   Принципал обязуется подтвердить или отказать в изменениях в течение 24 часов. По истечении 24 часов изменения считаются автоматически принятыми.   </w:t>
      </w:r>
    </w:p>
    <w:p>
      <w:pPr>
        <w:pStyle w:val="style49"/>
        <w:numPr>
          <w:ilvl w:val="2"/>
          <w:numId w:val="2"/>
        </w:numPr>
        <w:jc w:val="both"/>
      </w:pPr>
      <w:r>
        <w:rPr>
          <w:rFonts w:ascii="Times New Roman" w:hAnsi="Times New Roman"/>
          <w:sz w:val="20"/>
          <w:szCs w:val="20"/>
        </w:rPr>
        <w:t>Доводить до сведения туристов полную информацию о Гостинице, включая Правила проживания в Гостинице.</w:t>
      </w:r>
    </w:p>
    <w:p>
      <w:pPr>
        <w:pStyle w:val="style49"/>
        <w:numPr>
          <w:ilvl w:val="2"/>
          <w:numId w:val="2"/>
        </w:numPr>
        <w:jc w:val="both"/>
      </w:pPr>
      <w:r>
        <w:rPr>
          <w:rFonts w:ascii="Times New Roman" w:hAnsi="Times New Roman"/>
          <w:sz w:val="20"/>
          <w:szCs w:val="20"/>
        </w:rPr>
        <w:t>Своевременно и полностью оплачивать счета, выставляемые Принципалом за предоставленные туристам услуги, за исключением услуг, которые Индивидуальный турист/Группа туристов оплачивает самостоятельно.</w:t>
      </w:r>
    </w:p>
    <w:p>
      <w:pPr>
        <w:pStyle w:val="style49"/>
        <w:numPr>
          <w:ilvl w:val="2"/>
          <w:numId w:val="2"/>
        </w:numPr>
        <w:jc w:val="both"/>
      </w:pPr>
      <w:r>
        <w:rPr>
          <w:rFonts w:ascii="Times New Roman" w:hAnsi="Times New Roman"/>
          <w:sz w:val="20"/>
          <w:szCs w:val="20"/>
        </w:rPr>
        <w:t>Предоставить Принципалу заверенные копии следующих документов:</w:t>
      </w:r>
    </w:p>
    <w:p>
      <w:pPr>
        <w:pStyle w:val="style49"/>
        <w:ind w:hanging="0" w:left="360" w:right="0"/>
        <w:jc w:val="both"/>
      </w:pPr>
      <w:r>
        <w:rPr>
          <w:rFonts w:ascii="Times New Roman" w:hAnsi="Times New Roman"/>
          <w:sz w:val="20"/>
          <w:szCs w:val="20"/>
        </w:rPr>
        <w:t>- Устав (полностью)</w:t>
      </w:r>
    </w:p>
    <w:p>
      <w:pPr>
        <w:pStyle w:val="style49"/>
        <w:ind w:hanging="0" w:left="360" w:right="0"/>
        <w:jc w:val="both"/>
      </w:pPr>
      <w:r>
        <w:rPr>
          <w:rFonts w:ascii="Times New Roman" w:hAnsi="Times New Roman"/>
          <w:sz w:val="20"/>
          <w:szCs w:val="20"/>
        </w:rPr>
        <w:t>- выписка из ЕГРЮЛ, выданная не более, чем за месяц до заключения договора</w:t>
      </w:r>
    </w:p>
    <w:p>
      <w:pPr>
        <w:pStyle w:val="style49"/>
        <w:ind w:hanging="0" w:left="360" w:right="0"/>
        <w:jc w:val="both"/>
      </w:pPr>
      <w:r>
        <w:rPr>
          <w:rFonts w:ascii="Times New Roman" w:hAnsi="Times New Roman"/>
          <w:sz w:val="20"/>
          <w:szCs w:val="20"/>
        </w:rPr>
        <w:t>- свидетельство о регистрации,</w:t>
      </w:r>
    </w:p>
    <w:p>
      <w:pPr>
        <w:pStyle w:val="style49"/>
        <w:ind w:hanging="0" w:left="360" w:right="0"/>
        <w:jc w:val="both"/>
      </w:pPr>
      <w:r>
        <w:rPr>
          <w:rFonts w:ascii="Times New Roman" w:hAnsi="Times New Roman"/>
          <w:sz w:val="20"/>
          <w:szCs w:val="20"/>
        </w:rPr>
        <w:t>- свидетельство о постановке на налоговый учет,</w:t>
      </w:r>
    </w:p>
    <w:p>
      <w:pPr>
        <w:pStyle w:val="style49"/>
        <w:ind w:hanging="0" w:left="360" w:right="0"/>
        <w:jc w:val="both"/>
      </w:pPr>
      <w:r>
        <w:rPr>
          <w:rFonts w:ascii="Times New Roman" w:hAnsi="Times New Roman"/>
          <w:sz w:val="20"/>
          <w:szCs w:val="20"/>
        </w:rPr>
        <w:t>- приказ о назначении генерального директора или протокол (решение), подтверждающее полномочия руководителя,</w:t>
      </w:r>
    </w:p>
    <w:p>
      <w:pPr>
        <w:pStyle w:val="style49"/>
        <w:ind w:hanging="0" w:left="360" w:right="0"/>
        <w:jc w:val="both"/>
      </w:pPr>
      <w:r>
        <w:rPr>
          <w:rFonts w:ascii="Times New Roman" w:hAnsi="Times New Roman"/>
          <w:sz w:val="20"/>
          <w:szCs w:val="20"/>
        </w:rPr>
        <w:t>- доверенность, если договор будет подписывать лицо по доверенности.</w:t>
      </w:r>
    </w:p>
    <w:p>
      <w:pPr>
        <w:pStyle w:val="style0"/>
        <w:jc w:val="both"/>
      </w:pPr>
      <w:r>
        <w:rPr>
          <w:sz w:val="20"/>
          <w:szCs w:val="20"/>
        </w:rPr>
      </w:r>
    </w:p>
    <w:p>
      <w:pPr>
        <w:pStyle w:val="style49"/>
        <w:numPr>
          <w:ilvl w:val="0"/>
          <w:numId w:val="2"/>
        </w:numPr>
        <w:jc w:val="center"/>
      </w:pPr>
      <w:r>
        <w:rPr>
          <w:rFonts w:ascii="Times New Roman" w:hAnsi="Times New Roman"/>
          <w:b/>
          <w:sz w:val="20"/>
          <w:szCs w:val="20"/>
        </w:rPr>
        <w:t>ЦЕНЫ. ПОРЯДОК РАСЧЕТОВ. СВЕРКА РАСЧЕТОВ</w:t>
      </w:r>
    </w:p>
    <w:p>
      <w:pPr>
        <w:pStyle w:val="style49"/>
        <w:numPr>
          <w:ilvl w:val="1"/>
          <w:numId w:val="2"/>
        </w:numPr>
        <w:jc w:val="both"/>
      </w:pPr>
      <w:r>
        <w:rPr>
          <w:rFonts w:ascii="Times New Roman" w:hAnsi="Times New Roman"/>
          <w:sz w:val="20"/>
          <w:szCs w:val="20"/>
        </w:rPr>
        <w:t>Стоимость услуг, оказываемых Агенту по Договору, определяется в соответствии с тарифами, указанными в Приложении № 1 (Далее по тексту «Приложение №1») к Договору. Данные тарифы действительны для туристических групп и Индивидуальных туристов, являются конфиденциальными и могут быть использованы только в составе пакета услуг.</w:t>
      </w:r>
    </w:p>
    <w:p>
      <w:pPr>
        <w:pStyle w:val="style49"/>
        <w:numPr>
          <w:ilvl w:val="1"/>
          <w:numId w:val="2"/>
        </w:numPr>
        <w:jc w:val="both"/>
      </w:pPr>
      <w:r>
        <w:rPr>
          <w:rFonts w:ascii="Times New Roman" w:hAnsi="Times New Roman"/>
          <w:sz w:val="20"/>
          <w:szCs w:val="20"/>
        </w:rPr>
        <w:t>Указанные цены предоставляются Агенту при условии размещения информации об отеле и фотографии отеля в рекламном проспекте Агента или его партнера.</w:t>
      </w:r>
    </w:p>
    <w:p>
      <w:pPr>
        <w:pStyle w:val="style49"/>
        <w:numPr>
          <w:ilvl w:val="1"/>
          <w:numId w:val="2"/>
        </w:numPr>
        <w:jc w:val="both"/>
      </w:pPr>
      <w:r>
        <w:rPr>
          <w:rFonts w:ascii="Times New Roman" w:hAnsi="Times New Roman"/>
          <w:sz w:val="20"/>
          <w:szCs w:val="20"/>
        </w:rPr>
        <w:t>В соответствии с пунктом 3.1. данного договора цены и условия на размещение и питание корпоративных клиентов, членов делегаций, специализированных групп, участников конференций, выставок, турниров, соревнований, шоу-программ и других подобных мероприятий определяются отдельным соглашением.</w:t>
      </w:r>
    </w:p>
    <w:p>
      <w:pPr>
        <w:pStyle w:val="style49"/>
        <w:numPr>
          <w:ilvl w:val="1"/>
          <w:numId w:val="2"/>
        </w:numPr>
        <w:jc w:val="both"/>
      </w:pPr>
      <w:r>
        <w:rPr>
          <w:rFonts w:ascii="Times New Roman" w:hAnsi="Times New Roman"/>
          <w:sz w:val="20"/>
          <w:szCs w:val="20"/>
        </w:rPr>
        <w:t>Агентское вознаграждение определяется как положительная разница между ценой продажи услуги и стоимостью данной услуги по ценам Принципала, указанным в Приложении 1.</w:t>
      </w:r>
    </w:p>
    <w:p>
      <w:pPr>
        <w:pStyle w:val="style49"/>
        <w:numPr>
          <w:ilvl w:val="1"/>
          <w:numId w:val="2"/>
        </w:numPr>
        <w:jc w:val="both"/>
      </w:pPr>
      <w:r>
        <w:rPr>
          <w:rFonts w:ascii="Times New Roman" w:hAnsi="Times New Roman"/>
          <w:sz w:val="20"/>
          <w:szCs w:val="20"/>
        </w:rPr>
        <w:t>Сборы и иные государственные пошлины, установленные законодательством РФ для иностранных граждан, находящихся на территории РФ, не входят в тарифы и уплачиваются туристами самостоятельно в размере и порядке, определенном законодательством РФ.</w:t>
      </w:r>
    </w:p>
    <w:p>
      <w:pPr>
        <w:pStyle w:val="style49"/>
        <w:numPr>
          <w:ilvl w:val="1"/>
          <w:numId w:val="2"/>
        </w:numPr>
        <w:jc w:val="both"/>
      </w:pPr>
      <w:r>
        <w:rPr>
          <w:rFonts w:ascii="Times New Roman" w:hAnsi="Times New Roman"/>
          <w:sz w:val="20"/>
          <w:szCs w:val="20"/>
        </w:rPr>
        <w:t>Принципал принимает на себя выполнение всех формальностей, связанных с регистрацией иностранного гражданина в РФ по месту пребывания в порядке, установленном действующим законодательством РФ. Стоимость возмещения затрат Принципала, связанных с регистрацией иностранных граждан в РФ, в тарифы не входит и оплачивается Агентом на основании счета Принципала в порядке, установленном настоящим договором. Принципал информирует Агента о ценах и тарифах на регистрацию иностранных граждан путем направления соответствующего уведомления по факсу, почтовым отправлением, с курьером или другим доступным способом. Если выполнение таких формальностей приведет к финансовым затратам Принципала, затраты взимаются с гостей на месте.</w:t>
      </w:r>
    </w:p>
    <w:p>
      <w:pPr>
        <w:pStyle w:val="style49"/>
        <w:numPr>
          <w:ilvl w:val="1"/>
          <w:numId w:val="2"/>
        </w:numPr>
        <w:jc w:val="both"/>
      </w:pPr>
      <w:r>
        <w:rPr>
          <w:rFonts w:ascii="Times New Roman" w:hAnsi="Times New Roman"/>
          <w:sz w:val="20"/>
          <w:szCs w:val="20"/>
        </w:rPr>
        <w:t>Квота предоставляется в корпусах 1-8 и 12 в  Гостинице и Апартаментном комплексе 3* "АЗИМУТ Отель Сочи"/"Azimut Hotel Sochi "на следующие типы и количество номеров:</w:t>
      </w:r>
    </w:p>
    <w:p>
      <w:pPr>
        <w:pStyle w:val="style49"/>
        <w:ind w:hanging="0" w:left="360" w:right="0"/>
        <w:jc w:val="both"/>
      </w:pPr>
      <w:r>
        <w:rPr>
          <w:rFonts w:ascii="Times New Roman" w:hAnsi="Times New Roman"/>
          <w:sz w:val="20"/>
          <w:szCs w:val="20"/>
        </w:rPr>
        <w:t>- 20 Стандартных одноместных номеров</w:t>
      </w:r>
    </w:p>
    <w:p>
      <w:pPr>
        <w:pStyle w:val="style49"/>
        <w:ind w:hanging="0" w:left="360" w:right="0"/>
        <w:jc w:val="both"/>
      </w:pPr>
      <w:r>
        <w:rPr>
          <w:rFonts w:ascii="Times New Roman" w:hAnsi="Times New Roman"/>
          <w:sz w:val="20"/>
          <w:szCs w:val="20"/>
        </w:rPr>
        <w:t>- 1420 Стандартных двухместных номеров</w:t>
      </w:r>
    </w:p>
    <w:p>
      <w:pPr>
        <w:pStyle w:val="style49"/>
        <w:ind w:hanging="0" w:left="360" w:right="0"/>
        <w:jc w:val="both"/>
      </w:pPr>
      <w:r>
        <w:rPr>
          <w:rFonts w:ascii="Times New Roman" w:hAnsi="Times New Roman"/>
          <w:sz w:val="20"/>
          <w:szCs w:val="20"/>
        </w:rPr>
        <w:t>- 5 Люкс 2-х комнатный</w:t>
      </w:r>
    </w:p>
    <w:p>
      <w:pPr>
        <w:pStyle w:val="style49"/>
        <w:ind w:hanging="0" w:left="360" w:right="0"/>
        <w:jc w:val="both"/>
      </w:pPr>
      <w:r>
        <w:rPr>
          <w:rFonts w:ascii="Times New Roman" w:hAnsi="Times New Roman"/>
          <w:sz w:val="20"/>
          <w:szCs w:val="20"/>
        </w:rPr>
        <w:t xml:space="preserve"> </w:t>
      </w:r>
      <w:r>
        <w:rPr>
          <w:rFonts w:ascii="Times New Roman" w:hAnsi="Times New Roman"/>
          <w:sz w:val="20"/>
          <w:szCs w:val="20"/>
        </w:rPr>
        <w:t>-10 Люкс супериор 3-х комнатный</w:t>
      </w:r>
    </w:p>
    <w:p>
      <w:pPr>
        <w:pStyle w:val="style49"/>
        <w:ind w:firstLine="348" w:left="360" w:right="0"/>
        <w:jc w:val="both"/>
      </w:pPr>
      <w:r>
        <w:rPr>
          <w:rFonts w:ascii="Times New Roman" w:hAnsi="Times New Roman"/>
          <w:sz w:val="20"/>
          <w:szCs w:val="20"/>
        </w:rPr>
        <w:t>на следующих условиях:</w:t>
      </w:r>
    </w:p>
    <w:p>
      <w:pPr>
        <w:pStyle w:val="style49"/>
        <w:ind w:hanging="0" w:left="360" w:right="0"/>
        <w:jc w:val="both"/>
      </w:pPr>
      <w:r>
        <w:rPr>
          <w:rFonts w:ascii="Times New Roman" w:hAnsi="Times New Roman"/>
          <w:sz w:val="20"/>
          <w:szCs w:val="20"/>
        </w:rPr>
        <w:t xml:space="preserve">- 01.05 - 31.05 – 1000 номеров, мягкий блок, с периодом отмены 14 ночей </w:t>
      </w:r>
    </w:p>
    <w:p>
      <w:pPr>
        <w:pStyle w:val="style49"/>
        <w:ind w:hanging="0" w:left="360" w:right="0"/>
        <w:jc w:val="both"/>
      </w:pPr>
      <w:r>
        <w:rPr>
          <w:rFonts w:ascii="Times New Roman" w:hAnsi="Times New Roman"/>
          <w:sz w:val="20"/>
          <w:szCs w:val="20"/>
        </w:rPr>
        <w:t xml:space="preserve">- 1.06 </w:t>
      </w:r>
      <w:bookmarkStart w:id="0" w:name="_GoBack"/>
      <w:bookmarkEnd w:id="0"/>
      <w:r>
        <w:rPr>
          <w:rFonts w:ascii="Times New Roman" w:hAnsi="Times New Roman"/>
          <w:sz w:val="20"/>
          <w:szCs w:val="20"/>
        </w:rPr>
        <w:t xml:space="preserve">- 31.08 – 1500 номеров, материализация 80% (1200 номеров жёсткая квота): 10% (150 номеров) – релиз 10 ночей и 10% (150 номеров) релиз 4 ночи. </w:t>
      </w:r>
    </w:p>
    <w:p>
      <w:pPr>
        <w:pStyle w:val="style49"/>
        <w:ind w:hanging="0" w:left="360" w:right="0"/>
        <w:jc w:val="both"/>
      </w:pPr>
      <w:r>
        <w:rPr>
          <w:rFonts w:ascii="Times New Roman" w:hAnsi="Times New Roman"/>
          <w:sz w:val="20"/>
          <w:szCs w:val="20"/>
        </w:rPr>
        <w:t>- 1.09 - 30.09 – 1500 номеров, материализация 60% (900 номеров жёсткая квота): 20% (300 номеров) – релиз 10 ночей и 20% (300 номеров) – релиз 4 ночи.</w:t>
      </w:r>
    </w:p>
    <w:p>
      <w:pPr>
        <w:pStyle w:val="style49"/>
        <w:ind w:hanging="0" w:left="360" w:right="0"/>
        <w:jc w:val="both"/>
      </w:pPr>
      <w:r>
        <w:rPr>
          <w:rFonts w:ascii="Times New Roman" w:hAnsi="Times New Roman"/>
          <w:sz w:val="20"/>
          <w:szCs w:val="20"/>
        </w:rPr>
        <w:t>При наступлении срока релиза нереализованные номера автоматически снимаются с квоты и переходят в распоряжение Принципала без дополнительных взаимоуведомлений.</w:t>
      </w:r>
    </w:p>
    <w:p>
      <w:pPr>
        <w:pStyle w:val="style49"/>
        <w:numPr>
          <w:ilvl w:val="1"/>
          <w:numId w:val="2"/>
        </w:numPr>
        <w:jc w:val="both"/>
      </w:pPr>
      <w:r>
        <w:rPr>
          <w:rFonts w:ascii="Times New Roman" w:hAnsi="Times New Roman"/>
          <w:sz w:val="20"/>
          <w:szCs w:val="20"/>
        </w:rPr>
        <w:t>Принципал выставляет Агенту счета на 100% предоплату от суммы гарантированной квоты, а Агент обязуется оплатить счета по оговоренному графику согласно Приложению №2.</w:t>
      </w:r>
    </w:p>
    <w:p>
      <w:pPr>
        <w:pStyle w:val="style49"/>
        <w:numPr>
          <w:ilvl w:val="1"/>
          <w:numId w:val="2"/>
        </w:numPr>
        <w:jc w:val="both"/>
      </w:pPr>
      <w:r>
        <w:rPr>
          <w:rFonts w:ascii="Times New Roman" w:hAnsi="Times New Roman"/>
          <w:sz w:val="20"/>
          <w:szCs w:val="20"/>
        </w:rPr>
        <w:t xml:space="preserve">Для Индивидуальных туристов и групп туристов: денежные средства списываются со счета Принципала за 1 (один) банковский день до даты заезда туристов в гостиницу. </w:t>
      </w:r>
    </w:p>
    <w:p>
      <w:pPr>
        <w:pStyle w:val="style49"/>
        <w:numPr>
          <w:ilvl w:val="1"/>
          <w:numId w:val="2"/>
        </w:numPr>
        <w:jc w:val="both"/>
      </w:pPr>
      <w:r>
        <w:rPr>
          <w:rFonts w:ascii="Times New Roman" w:hAnsi="Times New Roman"/>
          <w:sz w:val="20"/>
          <w:szCs w:val="20"/>
        </w:rPr>
        <w:t>Номера, проданные сверх гарантированной квоты, а также по мягкому блоку, оплачиваются согласно выставленным Принципалом счетам за 7 дней до заезда туристов, но не ранее, чем через 2 банковских дня после выставления счёта.</w:t>
      </w:r>
    </w:p>
    <w:p>
      <w:pPr>
        <w:pStyle w:val="style49"/>
        <w:numPr>
          <w:ilvl w:val="1"/>
          <w:numId w:val="2"/>
        </w:numPr>
        <w:jc w:val="both"/>
      </w:pPr>
      <w:r>
        <w:rPr>
          <w:rFonts w:ascii="Times New Roman" w:hAnsi="Times New Roman"/>
          <w:sz w:val="20"/>
          <w:szCs w:val="20"/>
        </w:rPr>
        <w:t>Стороны своевременно (не позднее 10-го числа текущего месяца) осуществляют сверку расчетов за предыдущий месяц, произведенных в рамках Договора.</w:t>
      </w:r>
    </w:p>
    <w:p>
      <w:pPr>
        <w:pStyle w:val="style49"/>
        <w:numPr>
          <w:ilvl w:val="1"/>
          <w:numId w:val="2"/>
        </w:numPr>
        <w:jc w:val="both"/>
      </w:pPr>
      <w:r>
        <w:rPr>
          <w:rFonts w:ascii="Times New Roman" w:hAnsi="Times New Roman"/>
          <w:sz w:val="20"/>
          <w:szCs w:val="20"/>
        </w:rPr>
        <w:t>Принципал направляет оригиналы счетов, счетов-фактур и акты об оказанных услугах в адрес Агента, указанный в Договоре, почтовым отправлением, с курьером или другим доступным способом.  В течение 7 (семи) календарных дней с момента передачи Принципалом акта об оказанных услугах Агент обязан подписать его и вернуть в адрес Принципала по адресу, указанному в Договоре, почтовым отправлением, с курьером или другим доступным способом или дать мотивированный отказ в подписании. В случае неполучения Принципалом подписанного акта или мотивированного отказа от подписания акта в указанные сроки услуги будут считаться оказанными Принципалом надлежащим образом и в объеме, отраженном Принципалом в акте.</w:t>
      </w:r>
    </w:p>
    <w:p>
      <w:pPr>
        <w:pStyle w:val="style49"/>
        <w:numPr>
          <w:ilvl w:val="1"/>
          <w:numId w:val="2"/>
        </w:numPr>
        <w:jc w:val="both"/>
      </w:pPr>
      <w:r>
        <w:rPr>
          <w:rFonts w:ascii="Times New Roman" w:hAnsi="Times New Roman"/>
          <w:sz w:val="20"/>
          <w:szCs w:val="20"/>
        </w:rPr>
        <w:t>Принципал в срок до 10 числа каждого месяца направляет в адрес Агента по факсу, почтовым отправлением, с курьером или другим доступным способом Акт сверки расчетов за предыдущий месяц. Акт сверки включает в себя, кроме прочего, перечень актов оказанных Принципалом услуг с указанием даты, суммы и № брони. Агент в течение 5 (пяти) рабочих дней с момента получения Акта сверки подписывает его и направляет в адрес Принципала по факсу, почтовым отправлением, с курьером или другим доступным способом. В случае возникновения разногласий по Акту сверки Принципал и Агент производят сверку по каждому факту расхождений.</w:t>
      </w:r>
    </w:p>
    <w:p>
      <w:pPr>
        <w:pStyle w:val="style49"/>
        <w:numPr>
          <w:ilvl w:val="1"/>
          <w:numId w:val="2"/>
        </w:numPr>
        <w:jc w:val="both"/>
      </w:pPr>
      <w:r>
        <w:rPr>
          <w:rFonts w:ascii="Times New Roman" w:hAnsi="Times New Roman"/>
          <w:sz w:val="20"/>
          <w:szCs w:val="20"/>
        </w:rPr>
        <w:t>Датой исполнения Агентом обязанности по оплате услуг Принципала считается день зачисления денежных средств на расчетный счет Принципала в полном объеме.</w:t>
      </w:r>
    </w:p>
    <w:p>
      <w:pPr>
        <w:pStyle w:val="style0"/>
        <w:jc w:val="both"/>
      </w:pPr>
      <w:r>
        <w:rPr>
          <w:sz w:val="20"/>
          <w:szCs w:val="20"/>
        </w:rPr>
      </w:r>
    </w:p>
    <w:p>
      <w:pPr>
        <w:pStyle w:val="style49"/>
        <w:numPr>
          <w:ilvl w:val="0"/>
          <w:numId w:val="2"/>
        </w:numPr>
        <w:jc w:val="center"/>
      </w:pPr>
      <w:r>
        <w:rPr>
          <w:rFonts w:ascii="Times New Roman" w:hAnsi="Times New Roman"/>
          <w:b/>
          <w:sz w:val="20"/>
          <w:szCs w:val="20"/>
        </w:rPr>
        <w:t>ОТВЕТСТВЕННОСТЬ СТОРОН</w:t>
      </w:r>
    </w:p>
    <w:p>
      <w:pPr>
        <w:pStyle w:val="style49"/>
        <w:numPr>
          <w:ilvl w:val="1"/>
          <w:numId w:val="2"/>
        </w:numPr>
        <w:jc w:val="both"/>
      </w:pPr>
      <w:r>
        <w:rPr>
          <w:rFonts w:ascii="Times New Roman" w:hAnsi="Times New Roman"/>
          <w:sz w:val="20"/>
          <w:szCs w:val="20"/>
        </w:rPr>
        <w:t>Действительной признается та аннуляция, о которой Агент уведомил Принципала в письменной форме с обязательным подтверждением в письменной форме со стороны Принципала о получении данного уведомления и подтверждении аннуляции. Принципал обязуется подтвердить аннуляцию в течение 24 часов. По истечении 24 часов аннуляция считаются автоматически принятой. В случае не заезда Гостя с Агента взимается плата за фактический простой номера в размере стоимости проживания за одни сутки.</w:t>
      </w:r>
    </w:p>
    <w:p>
      <w:pPr>
        <w:pStyle w:val="style49"/>
        <w:numPr>
          <w:ilvl w:val="1"/>
          <w:numId w:val="2"/>
        </w:numPr>
        <w:jc w:val="both"/>
      </w:pPr>
      <w:r>
        <w:rPr>
          <w:rFonts w:ascii="Times New Roman" w:hAnsi="Times New Roman"/>
          <w:sz w:val="20"/>
          <w:szCs w:val="20"/>
        </w:rPr>
        <w:t>В случае отъезда индивидуального туриста \ Группы туристов ранее указанного в заявке Агента срока при отсутствии уведомления об этом от Агента в сроки, соответствующие условиям аннуляции бронирования согласно Приложения №1 к договору, Принципал не производит возврат ранее уплаченных денежных средств и не производит коррекцию суммы проживания. Агент производит оплату в размере за весь срок проживания, указанный в заявке.</w:t>
      </w:r>
    </w:p>
    <w:p>
      <w:pPr>
        <w:pStyle w:val="style49"/>
        <w:numPr>
          <w:ilvl w:val="1"/>
          <w:numId w:val="2"/>
        </w:numPr>
        <w:jc w:val="both"/>
      </w:pPr>
      <w:r>
        <w:rPr>
          <w:rFonts w:ascii="Times New Roman" w:hAnsi="Times New Roman"/>
          <w:sz w:val="20"/>
          <w:szCs w:val="20"/>
        </w:rPr>
        <w:t>В случае несвоевременной оплаты услуг Принципала, Принципал имеет право начислить и предъявить к оплате Агенту неустойку в размере 0,1% от суммы задолженности за каждый день просрочки.Все выставленные Принципалом неустойки должны быть уплачены Агентом не позднее 3 (трех) банковских дней с момента выставления счета. Уплата штрафных санкции не освобождает Стороны от исполнения принятых на себя обязательств.</w:t>
      </w:r>
    </w:p>
    <w:p>
      <w:pPr>
        <w:pStyle w:val="style49"/>
        <w:numPr>
          <w:ilvl w:val="1"/>
          <w:numId w:val="2"/>
        </w:numPr>
        <w:jc w:val="both"/>
      </w:pPr>
      <w:r>
        <w:rPr>
          <w:rFonts w:ascii="Times New Roman" w:hAnsi="Times New Roman"/>
          <w:sz w:val="20"/>
          <w:szCs w:val="20"/>
        </w:rPr>
        <w:t>Материальный ущерб, причиненный Гостинице туристами Агента, возмещается виновными лицами непосредственно в Гостинице на основании Актов, составленных в установленном порядке.</w:t>
      </w:r>
    </w:p>
    <w:p>
      <w:pPr>
        <w:pStyle w:val="style0"/>
        <w:jc w:val="both"/>
      </w:pPr>
      <w:r>
        <w:rPr>
          <w:sz w:val="20"/>
          <w:szCs w:val="20"/>
        </w:rPr>
      </w:r>
    </w:p>
    <w:p>
      <w:pPr>
        <w:pStyle w:val="style49"/>
        <w:numPr>
          <w:ilvl w:val="0"/>
          <w:numId w:val="2"/>
        </w:numPr>
        <w:jc w:val="center"/>
      </w:pPr>
      <w:r>
        <w:rPr>
          <w:rFonts w:ascii="Times New Roman" w:hAnsi="Times New Roman"/>
          <w:b/>
          <w:sz w:val="20"/>
          <w:szCs w:val="20"/>
        </w:rPr>
        <w:t>ФОРС-МАЖОРНЫЕ ОБСТОЯТЕЛЬСТВА</w:t>
      </w:r>
    </w:p>
    <w:p>
      <w:pPr>
        <w:pStyle w:val="style49"/>
        <w:numPr>
          <w:ilvl w:val="1"/>
          <w:numId w:val="2"/>
        </w:numPr>
        <w:jc w:val="both"/>
      </w:pPr>
      <w:r>
        <w:rPr>
          <w:rFonts w:ascii="Times New Roman" w:hAnsi="Times New Roman"/>
          <w:sz w:val="20"/>
          <w:szCs w:val="20"/>
        </w:rPr>
        <w:t>Стороны освобождаются от ответственности за неисполнение или ненадлежащее исполнение обязательств по Договору, если докажут, что надлежащее исполнение оказалось невозможным вследствие непреодолимой силы, то есть чрезвычайных и непреодолимых при данных условиях обстоятельств (например, стихийные бедствия, аварии, пожар, эпидемии, гражданские беспорядки, решения органов государственной власти и управления и другие).</w:t>
      </w:r>
    </w:p>
    <w:p>
      <w:pPr>
        <w:pStyle w:val="style49"/>
        <w:numPr>
          <w:ilvl w:val="1"/>
          <w:numId w:val="2"/>
        </w:numPr>
        <w:jc w:val="both"/>
      </w:pPr>
      <w:r>
        <w:rPr>
          <w:rFonts w:ascii="Times New Roman" w:hAnsi="Times New Roman"/>
          <w:sz w:val="20"/>
          <w:szCs w:val="20"/>
        </w:rPr>
        <w:t>При наступлении обстоятельств, указанных в п. 5.1. Договора, Сторона обязана без промедления, но не позднее 3-х календарных дней с момента наступления этих обстоятельств, известить о них в письменном виде другую Сторону.</w:t>
      </w:r>
    </w:p>
    <w:p>
      <w:pPr>
        <w:pStyle w:val="style49"/>
        <w:numPr>
          <w:ilvl w:val="1"/>
          <w:numId w:val="2"/>
        </w:numPr>
        <w:jc w:val="both"/>
      </w:pPr>
      <w:r>
        <w:rPr>
          <w:rFonts w:ascii="Times New Roman" w:hAnsi="Times New Roman"/>
          <w:sz w:val="20"/>
          <w:szCs w:val="20"/>
        </w:rPr>
        <w:t>Извещение должно содержать данные о характере наступивших обстоятельств, а также официальные документы (справка соответствующего компетентного органа), подтверждающие наступление этих обстоятельств, и, по возможности, оценку влияния этих обстоятельств на исполнение обязательств по Договору.</w:t>
      </w:r>
    </w:p>
    <w:p>
      <w:pPr>
        <w:pStyle w:val="style49"/>
        <w:numPr>
          <w:ilvl w:val="1"/>
          <w:numId w:val="2"/>
        </w:numPr>
        <w:jc w:val="both"/>
      </w:pPr>
      <w:r>
        <w:rPr>
          <w:rFonts w:ascii="Times New Roman" w:hAnsi="Times New Roman"/>
          <w:sz w:val="20"/>
          <w:szCs w:val="20"/>
        </w:rPr>
        <w:t>Если Сторона не направит или несвоевременно направит извещение, предусмотренное в п. 5.3 Договора, то она будет не вправе ссылаться на эти обстоятельства и обязана возместить другой стороне понесенные убытки.</w:t>
      </w:r>
    </w:p>
    <w:p>
      <w:pPr>
        <w:pStyle w:val="style49"/>
        <w:numPr>
          <w:ilvl w:val="1"/>
          <w:numId w:val="2"/>
        </w:numPr>
        <w:jc w:val="both"/>
      </w:pPr>
      <w:r>
        <w:rPr>
          <w:rFonts w:ascii="Times New Roman" w:hAnsi="Times New Roman"/>
          <w:sz w:val="20"/>
          <w:szCs w:val="20"/>
        </w:rPr>
        <w:t>Если наступившие обстоятельства, предусмотренные п. 5.1. Договора продолжают действовать более одного месяца, стороны вправе принять (без предъявления взаимных претензий) решение о прекращении действия Договора, либо о приостановлении его действия. При этом денежные средства, уплаченные Агентом, возвращаются Агенту в течение 15 банковских дней за вычетом сумм за фактически оказанные услуги на момент наступление форс-мажорных обстоятельств.</w:t>
      </w:r>
    </w:p>
    <w:p>
      <w:pPr>
        <w:pStyle w:val="style0"/>
        <w:jc w:val="both"/>
      </w:pPr>
      <w:r>
        <w:rPr>
          <w:sz w:val="20"/>
          <w:szCs w:val="20"/>
        </w:rPr>
      </w:r>
    </w:p>
    <w:p>
      <w:pPr>
        <w:pStyle w:val="style0"/>
        <w:jc w:val="both"/>
      </w:pPr>
      <w:r>
        <w:rPr>
          <w:sz w:val="20"/>
          <w:szCs w:val="20"/>
        </w:rPr>
      </w:r>
    </w:p>
    <w:p>
      <w:pPr>
        <w:pStyle w:val="style49"/>
        <w:numPr>
          <w:ilvl w:val="0"/>
          <w:numId w:val="2"/>
        </w:numPr>
        <w:jc w:val="center"/>
      </w:pPr>
      <w:r>
        <w:rPr>
          <w:rFonts w:ascii="Times New Roman" w:hAnsi="Times New Roman"/>
          <w:b/>
          <w:sz w:val="20"/>
          <w:szCs w:val="20"/>
        </w:rPr>
        <w:t>ПОРЯДОК РАЗРЕШЕНИЯ СПОРОВ</w:t>
      </w:r>
    </w:p>
    <w:p>
      <w:pPr>
        <w:pStyle w:val="style49"/>
        <w:numPr>
          <w:ilvl w:val="1"/>
          <w:numId w:val="2"/>
        </w:numPr>
        <w:jc w:val="both"/>
      </w:pPr>
      <w:r>
        <w:rPr>
          <w:rFonts w:ascii="Times New Roman" w:hAnsi="Times New Roman"/>
          <w:sz w:val="20"/>
          <w:szCs w:val="20"/>
        </w:rPr>
        <w:t>Все споры и разногласия, которые могут возникнуть в связи с исполнением Договора, будут разрешаться Сторонами путем переговоров, а в случае не достижения согласия – будут переданы на рассмотрение Арбитражного суда Краснодарского края.</w:t>
      </w:r>
    </w:p>
    <w:p>
      <w:pPr>
        <w:pStyle w:val="style49"/>
        <w:numPr>
          <w:ilvl w:val="1"/>
          <w:numId w:val="2"/>
        </w:numPr>
        <w:jc w:val="both"/>
      </w:pPr>
      <w:r>
        <w:rPr>
          <w:rFonts w:ascii="Times New Roman" w:hAnsi="Times New Roman"/>
          <w:sz w:val="20"/>
          <w:szCs w:val="20"/>
        </w:rPr>
        <w:t>В случае если Принципалом не оказаны услуги индивидуальному туристу/группе туристов в соответствии с подтвержденной Принципалом Заявкой, туристы Агента должны засвидетельствовать факты неоказания или ненадлежащего оказания услуг Принципалом у администрации Принципала.</w:t>
      </w:r>
    </w:p>
    <w:p>
      <w:pPr>
        <w:pStyle w:val="style49"/>
        <w:numPr>
          <w:ilvl w:val="1"/>
          <w:numId w:val="2"/>
        </w:numPr>
        <w:jc w:val="both"/>
      </w:pPr>
      <w:r>
        <w:rPr>
          <w:rFonts w:ascii="Times New Roman" w:hAnsi="Times New Roman"/>
          <w:sz w:val="20"/>
          <w:szCs w:val="20"/>
        </w:rPr>
        <w:t>Претензии, касающиеся качества оказанных Принципалом услуг, принимаются Принципалом в течение 7 (семи) рабочих дней с момента оказания услуги. Претензия должна быть составлена в простой письменной форме и содержать факты, свидетельствующие о несоответствии качества оказанных услуг заявленному качеству заказанных и оплаченных Агентом услуг в соответствии с подтвержденной Заявкой. Претензии рассматриваются в течение 10 (десяти) календарных дней с момента ее получения Принципалом.</w:t>
      </w:r>
    </w:p>
    <w:p>
      <w:pPr>
        <w:pStyle w:val="style0"/>
        <w:jc w:val="both"/>
      </w:pPr>
      <w:r>
        <w:rPr>
          <w:sz w:val="20"/>
          <w:szCs w:val="20"/>
        </w:rPr>
      </w:r>
    </w:p>
    <w:p>
      <w:pPr>
        <w:pStyle w:val="style49"/>
        <w:numPr>
          <w:ilvl w:val="0"/>
          <w:numId w:val="2"/>
        </w:numPr>
        <w:jc w:val="center"/>
      </w:pPr>
      <w:r>
        <w:rPr>
          <w:rFonts w:ascii="Times New Roman" w:hAnsi="Times New Roman"/>
          <w:b/>
          <w:sz w:val="20"/>
          <w:szCs w:val="20"/>
        </w:rPr>
        <w:t>СРОК ДЕЙСТВИЯ ДОГОВОРА</w:t>
      </w:r>
    </w:p>
    <w:p>
      <w:pPr>
        <w:pStyle w:val="style49"/>
        <w:numPr>
          <w:ilvl w:val="1"/>
          <w:numId w:val="2"/>
        </w:numPr>
        <w:jc w:val="both"/>
      </w:pPr>
      <w:r>
        <w:rPr>
          <w:rFonts w:ascii="Times New Roman" w:hAnsi="Times New Roman"/>
          <w:sz w:val="20"/>
          <w:szCs w:val="20"/>
        </w:rPr>
        <w:t>Договор вступает в силу с момента его подписания Сторонами или их уполномоченными представителями и действует до полного исполнения сторонами своих обязательств..</w:t>
      </w:r>
    </w:p>
    <w:p>
      <w:pPr>
        <w:pStyle w:val="style49"/>
        <w:numPr>
          <w:ilvl w:val="1"/>
          <w:numId w:val="2"/>
        </w:numPr>
        <w:jc w:val="both"/>
      </w:pPr>
      <w:r>
        <w:rPr>
          <w:rFonts w:ascii="Times New Roman" w:hAnsi="Times New Roman"/>
          <w:sz w:val="20"/>
          <w:szCs w:val="20"/>
        </w:rPr>
        <w:t>Любая из Сторон имеет право расторгнуть настоящий договор, направив другой Стороне письменное уведомление за 15 календарных дней до предполагаемой даты расторжения договора. Стороны обязаны Принципал обязательства, принятые на себя до даты расторжения Договора. С момента получение уведомления о расторжении Договора прекращается получение и подтверждения заявок. Стороны обязуются произвести сверку расчетов и завершить взаиморасчеты не позднее 3 (Трех) банковских дней с момента  расторжения (прекращения действия) Договора.</w:t>
      </w:r>
    </w:p>
    <w:p>
      <w:pPr>
        <w:pStyle w:val="style0"/>
        <w:jc w:val="both"/>
      </w:pPr>
      <w:r>
        <w:rPr>
          <w:sz w:val="20"/>
          <w:szCs w:val="20"/>
        </w:rPr>
      </w:r>
    </w:p>
    <w:p>
      <w:pPr>
        <w:pStyle w:val="style49"/>
        <w:numPr>
          <w:ilvl w:val="0"/>
          <w:numId w:val="2"/>
        </w:numPr>
        <w:jc w:val="center"/>
      </w:pPr>
      <w:r>
        <w:rPr>
          <w:rFonts w:ascii="Times New Roman" w:hAnsi="Times New Roman"/>
          <w:b/>
          <w:sz w:val="20"/>
          <w:szCs w:val="20"/>
        </w:rPr>
        <w:t>ПРОЧИЕ УСЛОВИЯ.</w:t>
      </w:r>
    </w:p>
    <w:p>
      <w:pPr>
        <w:pStyle w:val="style49"/>
        <w:numPr>
          <w:ilvl w:val="1"/>
          <w:numId w:val="2"/>
        </w:numPr>
        <w:jc w:val="both"/>
      </w:pPr>
      <w:r>
        <w:rPr>
          <w:rFonts w:ascii="Times New Roman" w:hAnsi="Times New Roman"/>
          <w:sz w:val="20"/>
          <w:szCs w:val="20"/>
        </w:rPr>
        <w:t>Условия Договора, а также предоставленная Сторонами друг другу коммерческая, финансовая или иная информация, связанная с заключением и исполнением Договора, включая специальные тарифы, приложения и дополнения к Договору, являются конфиденциальной информацией, не подлежащей разглашению третьим лицам без предварительного согласия другой стороны.</w:t>
      </w:r>
    </w:p>
    <w:p>
      <w:pPr>
        <w:pStyle w:val="style49"/>
        <w:numPr>
          <w:ilvl w:val="1"/>
          <w:numId w:val="2"/>
        </w:numPr>
        <w:jc w:val="both"/>
      </w:pPr>
      <w:r>
        <w:rPr>
          <w:rFonts w:ascii="Times New Roman" w:hAnsi="Times New Roman"/>
          <w:sz w:val="20"/>
          <w:szCs w:val="20"/>
        </w:rPr>
        <w:t>Ни одна из Сторон не вправе передавать свои права и/или обязательства по Договору третьим лицам без предварительного письменного согласия другой Стороны.</w:t>
      </w:r>
    </w:p>
    <w:p>
      <w:pPr>
        <w:pStyle w:val="style49"/>
        <w:numPr>
          <w:ilvl w:val="1"/>
          <w:numId w:val="2"/>
        </w:numPr>
        <w:jc w:val="both"/>
      </w:pPr>
      <w:r>
        <w:rPr>
          <w:rFonts w:ascii="Times New Roman" w:hAnsi="Times New Roman"/>
          <w:sz w:val="20"/>
          <w:szCs w:val="20"/>
        </w:rPr>
        <w:t>Все изменения и дополнения к Договору действительны, если они совершены в письменной форме и подписаны обеими сторонами или их уполномоченными представителями. До момента получения оригиналов документов за оригинал принимается факсовая копия.</w:t>
      </w:r>
    </w:p>
    <w:p>
      <w:pPr>
        <w:pStyle w:val="style49"/>
        <w:numPr>
          <w:ilvl w:val="1"/>
          <w:numId w:val="2"/>
        </w:numPr>
        <w:jc w:val="both"/>
      </w:pPr>
      <w:r>
        <w:rPr>
          <w:rFonts w:ascii="Times New Roman" w:hAnsi="Times New Roman"/>
          <w:sz w:val="20"/>
          <w:szCs w:val="20"/>
        </w:rPr>
        <w:t>Стороны согласились производить обмен документацией и вести всю переписку по факсу или электронной почте (e-mail).</w:t>
      </w:r>
    </w:p>
    <w:p>
      <w:pPr>
        <w:pStyle w:val="style49"/>
        <w:ind w:hanging="0" w:left="360" w:right="0"/>
        <w:jc w:val="both"/>
      </w:pPr>
      <w:r>
        <w:rPr>
          <w:rFonts w:ascii="Times New Roman" w:hAnsi="Times New Roman"/>
          <w:sz w:val="20"/>
          <w:szCs w:val="20"/>
        </w:rPr>
        <w:t xml:space="preserve">Контакты Принципала для оперативной работы: Марина Данилова т.+ 7 965 479 95 70  email: mdanilova@azimuthotels.com,  </w:t>
      </w:r>
    </w:p>
    <w:p>
      <w:pPr>
        <w:pStyle w:val="style49"/>
        <w:ind w:hanging="0" w:left="360" w:right="0"/>
        <w:jc w:val="both"/>
      </w:pPr>
      <w:r>
        <w:rPr>
          <w:rFonts w:ascii="Times New Roman" w:hAnsi="Times New Roman"/>
          <w:sz w:val="20"/>
          <w:szCs w:val="20"/>
        </w:rPr>
        <w:t>Контакты Принципала для финансовых расчетов: Марина Сиваш, Бухгалтер по учету доходов, т. +7 (862) 243-38-17 доб. 2611, e-mail: msivash@azimuthotels.com</w:t>
      </w:r>
    </w:p>
    <w:p>
      <w:pPr>
        <w:pStyle w:val="style49"/>
        <w:ind w:hanging="0" w:left="360" w:right="0"/>
        <w:jc w:val="both"/>
      </w:pPr>
      <w:r>
        <w:rPr>
          <w:rFonts w:ascii="Times New Roman" w:hAnsi="Times New Roman"/>
          <w:sz w:val="20"/>
          <w:szCs w:val="20"/>
        </w:rPr>
        <w:t xml:space="preserve">Контакты Агента для оперативной работы: __________________________, т.___________________. </w:t>
      </w:r>
    </w:p>
    <w:p>
      <w:pPr>
        <w:pStyle w:val="style49"/>
        <w:ind w:hanging="0" w:left="360" w:right="0"/>
        <w:jc w:val="both"/>
      </w:pPr>
      <w:r>
        <w:rPr>
          <w:rFonts w:ascii="Times New Roman" w:hAnsi="Times New Roman"/>
          <w:sz w:val="20"/>
          <w:szCs w:val="20"/>
        </w:rPr>
        <w:t xml:space="preserve">Контакты Агента для финансовых расчетов ________________________________, ф.______________________, т.___________________. </w:t>
      </w:r>
    </w:p>
    <w:p>
      <w:pPr>
        <w:pStyle w:val="style49"/>
        <w:numPr>
          <w:ilvl w:val="1"/>
          <w:numId w:val="2"/>
        </w:numPr>
        <w:jc w:val="both"/>
      </w:pPr>
      <w:r>
        <w:rPr>
          <w:rFonts w:ascii="Times New Roman" w:hAnsi="Times New Roman"/>
          <w:sz w:val="20"/>
          <w:szCs w:val="20"/>
        </w:rPr>
        <w:t xml:space="preserve">Информация (объявления, приглашения, интервью или продажи), размещаемая Агентом в средствах массовой информации о мероприятии, организованном на территории Принципала, должны быть предварительно согласованы с Принципалом. </w:t>
      </w:r>
    </w:p>
    <w:p>
      <w:pPr>
        <w:pStyle w:val="style49"/>
        <w:numPr>
          <w:ilvl w:val="1"/>
          <w:numId w:val="2"/>
        </w:numPr>
        <w:jc w:val="both"/>
      </w:pPr>
      <w:r>
        <w:rPr>
          <w:rFonts w:ascii="Times New Roman" w:hAnsi="Times New Roman"/>
          <w:sz w:val="20"/>
          <w:szCs w:val="20"/>
        </w:rPr>
        <w:t xml:space="preserve">В случае если размещенная Агентом информация неблагоприятным образом отражается на репутации или статусе Принципала и его деятельности, Принципал имеет право в одностороннем порядке отказать в оказании услуг по Договору. В этом случае все убытки, ущерб и претензии на возмещение ущерба, относятся на счет Агента. </w:t>
      </w:r>
    </w:p>
    <w:p>
      <w:pPr>
        <w:pStyle w:val="style49"/>
        <w:numPr>
          <w:ilvl w:val="1"/>
          <w:numId w:val="2"/>
        </w:numPr>
        <w:jc w:val="both"/>
      </w:pPr>
      <w:r>
        <w:rPr>
          <w:rFonts w:ascii="Times New Roman" w:hAnsi="Times New Roman"/>
          <w:sz w:val="20"/>
          <w:szCs w:val="20"/>
        </w:rPr>
        <w:t xml:space="preserve">В случае если Принципал имеет основания полагать, что размещенная Агентом информация в СМИ ставит под угрозу обычное осуществление деятельности Принципала и его безопасность, Принципал вправе в одностороннем порядке расторгнуть договор с Агентом. </w:t>
      </w:r>
    </w:p>
    <w:p>
      <w:pPr>
        <w:pStyle w:val="style49"/>
        <w:numPr>
          <w:ilvl w:val="1"/>
          <w:numId w:val="2"/>
        </w:numPr>
        <w:jc w:val="both"/>
      </w:pPr>
      <w:r>
        <w:rPr>
          <w:rFonts w:ascii="Times New Roman" w:hAnsi="Times New Roman"/>
          <w:sz w:val="20"/>
          <w:szCs w:val="20"/>
        </w:rPr>
        <w:t>Договор составлен в двух подлинных экземплярах, имеющих равную юридическую силу, один экземпляр для Принципала и один для Агента.</w:t>
      </w:r>
    </w:p>
    <w:p>
      <w:pPr>
        <w:pStyle w:val="style49"/>
        <w:numPr>
          <w:ilvl w:val="1"/>
          <w:numId w:val="2"/>
        </w:numPr>
        <w:jc w:val="both"/>
      </w:pPr>
      <w:r>
        <w:rPr>
          <w:rFonts w:ascii="Times New Roman" w:hAnsi="Times New Roman"/>
          <w:sz w:val="20"/>
          <w:szCs w:val="20"/>
        </w:rPr>
        <w:t>Приложениями к настоящему Договору являются:</w:t>
      </w:r>
    </w:p>
    <w:p>
      <w:pPr>
        <w:pStyle w:val="style49"/>
        <w:ind w:hanging="0" w:left="360" w:right="0"/>
        <w:jc w:val="both"/>
      </w:pPr>
      <w:r>
        <w:rPr>
          <w:rFonts w:ascii="Times New Roman" w:hAnsi="Times New Roman"/>
          <w:sz w:val="20"/>
          <w:szCs w:val="20"/>
        </w:rPr>
        <w:t>- Приложение № 1. Тарифы на оказание услуг</w:t>
      </w:r>
    </w:p>
    <w:p>
      <w:pPr>
        <w:pStyle w:val="style49"/>
        <w:numPr>
          <w:ilvl w:val="0"/>
          <w:numId w:val="3"/>
        </w:numPr>
        <w:ind w:hanging="0" w:left="360" w:right="0"/>
        <w:jc w:val="both"/>
      </w:pPr>
      <w:r>
        <w:rPr>
          <w:rFonts w:ascii="Times New Roman" w:hAnsi="Times New Roman"/>
          <w:sz w:val="20"/>
          <w:szCs w:val="20"/>
        </w:rPr>
        <w:t>Приложение № 2. Смета на оказание услуг по гарантированной квоте и график платежей</w:t>
      </w:r>
    </w:p>
    <w:p>
      <w:pPr>
        <w:pStyle w:val="style0"/>
        <w:numPr>
          <w:ilvl w:val="0"/>
          <w:numId w:val="3"/>
        </w:numPr>
        <w:jc w:val="both"/>
      </w:pPr>
      <w:r>
        <w:rPr>
          <w:sz w:val="20"/>
          <w:szCs w:val="20"/>
        </w:rPr>
      </w:r>
    </w:p>
    <w:p>
      <w:pPr>
        <w:pStyle w:val="style0"/>
        <w:jc w:val="both"/>
      </w:pPr>
      <w:r>
        <w:rPr>
          <w:sz w:val="20"/>
          <w:szCs w:val="20"/>
        </w:rPr>
      </w:r>
    </w:p>
    <w:p>
      <w:pPr>
        <w:pStyle w:val="style0"/>
        <w:jc w:val="both"/>
      </w:pPr>
      <w:r>
        <w:rPr>
          <w:sz w:val="20"/>
          <w:szCs w:val="20"/>
        </w:rPr>
      </w:r>
    </w:p>
    <w:p>
      <w:pPr>
        <w:pStyle w:val="style0"/>
        <w:jc w:val="both"/>
      </w:pPr>
      <w:r>
        <w:rPr>
          <w:sz w:val="20"/>
          <w:szCs w:val="20"/>
        </w:rPr>
      </w:r>
    </w:p>
    <w:p>
      <w:pPr>
        <w:pStyle w:val="style0"/>
        <w:jc w:val="both"/>
      </w:pPr>
      <w:r>
        <w:rPr>
          <w:sz w:val="20"/>
          <w:szCs w:val="20"/>
        </w:rPr>
      </w:r>
    </w:p>
    <w:p>
      <w:pPr>
        <w:pStyle w:val="style0"/>
        <w:jc w:val="both"/>
      </w:pPr>
      <w:r>
        <w:rPr>
          <w:sz w:val="20"/>
          <w:szCs w:val="20"/>
        </w:rPr>
      </w:r>
    </w:p>
    <w:p>
      <w:pPr>
        <w:pStyle w:val="style49"/>
        <w:numPr>
          <w:ilvl w:val="0"/>
          <w:numId w:val="2"/>
        </w:numPr>
        <w:jc w:val="center"/>
      </w:pPr>
      <w:r>
        <w:rPr>
          <w:rFonts w:ascii="Times New Roman" w:hAnsi="Times New Roman"/>
          <w:b/>
          <w:sz w:val="20"/>
          <w:szCs w:val="20"/>
        </w:rPr>
        <w:t>ЮРИДИЧЕСКИЕ АДРЕСА И РЕКВИЗИТЫ СТОРОН</w:t>
      </w:r>
    </w:p>
    <w:p>
      <w:pPr>
        <w:pStyle w:val="style0"/>
        <w:jc w:val="both"/>
      </w:pPr>
      <w:r>
        <w:rPr>
          <w:sz w:val="20"/>
          <w:szCs w:val="20"/>
        </w:rPr>
      </w:r>
    </w:p>
    <w:tbl>
      <w:tblPr>
        <w:jc w:val="left"/>
        <w:tblInd w:type="dxa" w:w="1"/>
        <w:tblBorders>
          <w:top w:color="00000A" w:space="0" w:sz="4" w:val="single"/>
          <w:left w:color="00000A" w:space="0" w:sz="4" w:val="single"/>
          <w:bottom w:color="00000A" w:space="0" w:sz="4" w:val="single"/>
          <w:right w:color="00000A" w:space="0" w:sz="4" w:val="single"/>
        </w:tblBorders>
      </w:tblPr>
      <w:tblGrid>
        <w:gridCol w:w="1559"/>
        <w:gridCol w:w="3968"/>
        <w:gridCol w:w="4453"/>
      </w:tblGrid>
      <w:tr>
        <w:trPr>
          <w:trHeight w:hRule="atLeast" w:val="285"/>
          <w:cantSplit w:val="false"/>
        </w:trPr>
        <w:tc>
          <w:tcPr>
            <w:tcW w:type="dxa" w:w="155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3968"/>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Принципал</w:t>
            </w:r>
          </w:p>
        </w:tc>
        <w:tc>
          <w:tcPr>
            <w:tcW w:type="dxa" w:w="4453"/>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Агент</w:t>
            </w:r>
          </w:p>
        </w:tc>
      </w:tr>
      <w:tr>
        <w:trPr>
          <w:trHeight w:hRule="atLeast" w:val="285"/>
          <w:cantSplit w:val="false"/>
        </w:trPr>
        <w:tc>
          <w:tcPr>
            <w:tcW w:type="dxa" w:w="155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ИНН</w:t>
            </w:r>
          </w:p>
        </w:tc>
        <w:tc>
          <w:tcPr>
            <w:tcW w:type="dxa" w:w="396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4453"/>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r>
      <w:tr>
        <w:trPr>
          <w:trHeight w:hRule="atLeast" w:val="285"/>
          <w:cantSplit w:val="false"/>
        </w:trPr>
        <w:tc>
          <w:tcPr>
            <w:tcW w:type="dxa" w:w="155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КПП</w:t>
            </w:r>
          </w:p>
        </w:tc>
        <w:tc>
          <w:tcPr>
            <w:tcW w:type="dxa" w:w="396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4453"/>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r>
      <w:tr>
        <w:trPr>
          <w:trHeight w:hRule="atLeast" w:val="285"/>
          <w:cantSplit w:val="false"/>
        </w:trPr>
        <w:tc>
          <w:tcPr>
            <w:tcW w:type="dxa" w:w="155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ОГРН</w:t>
            </w:r>
          </w:p>
        </w:tc>
        <w:tc>
          <w:tcPr>
            <w:tcW w:type="dxa" w:w="396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4453"/>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r>
      <w:tr>
        <w:trPr>
          <w:trHeight w:hRule="atLeast" w:val="285"/>
          <w:cantSplit w:val="false"/>
        </w:trPr>
        <w:tc>
          <w:tcPr>
            <w:tcW w:type="dxa" w:w="155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Юр. адрес</w:t>
            </w:r>
          </w:p>
        </w:tc>
        <w:tc>
          <w:tcPr>
            <w:tcW w:type="dxa" w:w="396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4453"/>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r>
      <w:tr>
        <w:trPr>
          <w:trHeight w:hRule="atLeast" w:val="285"/>
          <w:cantSplit w:val="false"/>
        </w:trPr>
        <w:tc>
          <w:tcPr>
            <w:tcW w:type="dxa" w:w="155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Почтовый адрес</w:t>
            </w:r>
          </w:p>
        </w:tc>
        <w:tc>
          <w:tcPr>
            <w:tcW w:type="dxa" w:w="396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4453"/>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r>
      <w:tr>
        <w:trPr>
          <w:trHeight w:hRule="atLeast" w:val="285"/>
          <w:cantSplit w:val="false"/>
        </w:trPr>
        <w:tc>
          <w:tcPr>
            <w:tcW w:type="dxa" w:w="155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р/с</w:t>
            </w:r>
          </w:p>
        </w:tc>
        <w:tc>
          <w:tcPr>
            <w:tcW w:type="dxa" w:w="396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4453"/>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r>
      <w:tr>
        <w:trPr>
          <w:trHeight w:hRule="atLeast" w:val="285"/>
          <w:cantSplit w:val="false"/>
        </w:trPr>
        <w:tc>
          <w:tcPr>
            <w:tcW w:type="dxa" w:w="155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в</w:t>
            </w:r>
          </w:p>
        </w:tc>
        <w:tc>
          <w:tcPr>
            <w:tcW w:type="dxa" w:w="396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4453"/>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r>
      <w:tr>
        <w:trPr>
          <w:trHeight w:hRule="atLeast" w:val="285"/>
          <w:cantSplit w:val="false"/>
        </w:trPr>
        <w:tc>
          <w:tcPr>
            <w:tcW w:type="dxa" w:w="155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к/с</w:t>
            </w:r>
          </w:p>
        </w:tc>
        <w:tc>
          <w:tcPr>
            <w:tcW w:type="dxa" w:w="396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4453"/>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r>
      <w:tr>
        <w:trPr>
          <w:trHeight w:hRule="atLeast" w:val="285"/>
          <w:cantSplit w:val="false"/>
        </w:trPr>
        <w:tc>
          <w:tcPr>
            <w:tcW w:type="dxa" w:w="155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БИК</w:t>
            </w:r>
          </w:p>
        </w:tc>
        <w:tc>
          <w:tcPr>
            <w:tcW w:type="dxa" w:w="3968"/>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4453"/>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r>
    </w:tbl>
    <w:p>
      <w:pPr>
        <w:pStyle w:val="style0"/>
        <w:jc w:val="both"/>
      </w:pPr>
      <w:r>
        <w:rPr>
          <w:sz w:val="20"/>
          <w:szCs w:val="20"/>
        </w:rPr>
      </w:r>
    </w:p>
    <w:p>
      <w:pPr>
        <w:pStyle w:val="style0"/>
        <w:jc w:val="both"/>
      </w:pPr>
      <w:r>
        <w:rPr>
          <w:sz w:val="20"/>
          <w:szCs w:val="20"/>
        </w:rPr>
      </w:r>
    </w:p>
    <w:p>
      <w:pPr>
        <w:pStyle w:val="style0"/>
        <w:jc w:val="both"/>
      </w:pPr>
      <w:r>
        <w:rPr>
          <w:sz w:val="20"/>
          <w:szCs w:val="20"/>
        </w:rPr>
      </w:r>
    </w:p>
    <w:p>
      <w:pPr>
        <w:pStyle w:val="style0"/>
        <w:jc w:val="both"/>
      </w:pPr>
      <w:r>
        <w:rPr>
          <w:sz w:val="20"/>
          <w:szCs w:val="20"/>
        </w:rPr>
      </w:r>
    </w:p>
    <w:p>
      <w:pPr>
        <w:pStyle w:val="style0"/>
        <w:jc w:val="both"/>
      </w:pPr>
      <w:r>
        <w:rPr>
          <w:sz w:val="20"/>
          <w:szCs w:val="20"/>
        </w:rPr>
      </w:r>
    </w:p>
    <w:p>
      <w:pPr>
        <w:pStyle w:val="style0"/>
        <w:jc w:val="both"/>
      </w:pPr>
      <w:r>
        <w:rPr>
          <w:sz w:val="20"/>
          <w:szCs w:val="20"/>
        </w:rPr>
      </w:r>
    </w:p>
    <w:p>
      <w:pPr>
        <w:pStyle w:val="style0"/>
        <w:jc w:val="both"/>
      </w:pPr>
      <w:r>
        <w:rPr>
          <w:sz w:val="20"/>
          <w:szCs w:val="20"/>
        </w:rPr>
      </w:r>
    </w:p>
    <w:p>
      <w:pPr>
        <w:pStyle w:val="style0"/>
        <w:jc w:val="both"/>
      </w:pPr>
      <w:r>
        <w:rPr>
          <w:sz w:val="20"/>
          <w:szCs w:val="20"/>
        </w:rPr>
      </w:r>
    </w:p>
    <w:p>
      <w:pPr>
        <w:pStyle w:val="style0"/>
        <w:pageBreakBefore/>
        <w:jc w:val="both"/>
      </w:pPr>
      <w:r>
        <w:rPr>
          <w:sz w:val="20"/>
          <w:szCs w:val="20"/>
        </w:rPr>
      </w:r>
    </w:p>
    <w:p>
      <w:pPr>
        <w:pStyle w:val="style0"/>
        <w:jc w:val="right"/>
      </w:pPr>
      <w:r>
        <w:rPr>
          <w:b/>
          <w:sz w:val="20"/>
          <w:szCs w:val="20"/>
        </w:rPr>
        <w:t>Приложение №1 к Агентскому Договору №  ______ от________</w:t>
      </w:r>
    </w:p>
    <w:p>
      <w:pPr>
        <w:pStyle w:val="style0"/>
        <w:jc w:val="right"/>
      </w:pPr>
      <w:r>
        <w:rPr>
          <w:b/>
          <w:sz w:val="20"/>
          <w:szCs w:val="20"/>
        </w:rPr>
        <w:t>Тарифы оказания услуг.</w:t>
      </w:r>
    </w:p>
    <w:p>
      <w:pPr>
        <w:pStyle w:val="style0"/>
        <w:jc w:val="both"/>
      </w:pPr>
      <w:r>
        <w:rPr>
          <w:b/>
          <w:sz w:val="20"/>
          <w:szCs w:val="20"/>
        </w:rPr>
        <w:t>ТАРИФЫ НА ПРОЖИВАНИЕ</w:t>
      </w:r>
      <w:r>
        <w:rPr>
          <w:sz w:val="20"/>
          <w:szCs w:val="20"/>
        </w:rPr>
        <w:t>:</w:t>
      </w:r>
    </w:p>
    <w:p>
      <w:pPr>
        <w:pStyle w:val="style0"/>
        <w:jc w:val="both"/>
      </w:pPr>
      <w:r>
        <w:rPr>
          <w:sz w:val="20"/>
          <w:szCs w:val="20"/>
        </w:rPr>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4152"/>
        <w:gridCol w:w="3926"/>
        <w:gridCol w:w="1590"/>
      </w:tblGrid>
      <w:tr>
        <w:trPr>
          <w:trHeight w:hRule="atLeast" w:val="285"/>
          <w:cantSplit w:val="false"/>
        </w:trPr>
        <w:tc>
          <w:tcPr>
            <w:tcW w:type="dxa" w:w="415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Тип номера</w:t>
            </w:r>
          </w:p>
        </w:tc>
        <w:tc>
          <w:tcPr>
            <w:tcW w:type="dxa" w:w="3926"/>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Максимальное размещение</w:t>
            </w:r>
          </w:p>
        </w:tc>
        <w:tc>
          <w:tcPr>
            <w:tcW w:type="dxa" w:w="1590"/>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01.05.2015 – 30.09.2015</w:t>
            </w:r>
          </w:p>
        </w:tc>
      </w:tr>
      <w:tr>
        <w:trPr>
          <w:trHeight w:hRule="atLeast" w:val="285"/>
          <w:cantSplit w:val="false"/>
        </w:trPr>
        <w:tc>
          <w:tcPr>
            <w:tcW w:type="dxa" w:w="415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Room Type</w:t>
            </w:r>
          </w:p>
        </w:tc>
        <w:tc>
          <w:tcPr>
            <w:tcW w:type="dxa" w:w="3926"/>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c>
          <w:tcPr>
            <w:tcW w:type="dxa" w:w="1590"/>
            <w:vMerge w:val="restart"/>
            <w:tcBorders>
              <w:left w:color="00000A" w:space="0" w:sz="4" w:val="single"/>
              <w:bottom w:color="000001"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Цена за номер</w:t>
            </w:r>
          </w:p>
        </w:tc>
      </w:tr>
      <w:tr>
        <w:trPr>
          <w:trHeight w:hRule="atLeast" w:val="285"/>
          <w:cantSplit w:val="false"/>
        </w:trPr>
        <w:tc>
          <w:tcPr>
            <w:tcW w:type="dxa" w:w="415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r>
          </w:p>
        </w:tc>
        <w:tc>
          <w:tcPr>
            <w:tcW w:type="dxa" w:w="3926"/>
            <w:vMerge w:val="continue"/>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c>
          <w:tcPr>
            <w:tcW w:type="dxa" w:w="1590"/>
            <w:vMerge w:val="continue"/>
            <w:tcBorders>
              <w:left w:color="00000A" w:space="0" w:sz="4" w:val="single"/>
              <w:bottom w:color="000001"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r>
      <w:tr>
        <w:trPr>
          <w:trHeight w:hRule="atLeast" w:val="480"/>
          <w:cantSplit w:val="false"/>
        </w:trPr>
        <w:tc>
          <w:tcPr>
            <w:tcW w:type="dxa" w:w="415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Standard Single Bed / Standard single bed disabled  (стандарт одноместный) / (для инвалидов)</w:t>
            </w:r>
          </w:p>
        </w:tc>
        <w:tc>
          <w:tcPr>
            <w:tcW w:type="dxa" w:w="3926"/>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1 взрослый + 1 ребенок [0-12,99]</w:t>
            </w:r>
          </w:p>
        </w:tc>
        <w:tc>
          <w:tcPr>
            <w:tcW w:type="dxa" w:w="1590"/>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800</w:t>
            </w:r>
          </w:p>
        </w:tc>
      </w:tr>
      <w:tr>
        <w:trPr>
          <w:trHeight w:hRule="atLeast" w:val="285"/>
          <w:cantSplit w:val="false"/>
        </w:trPr>
        <w:tc>
          <w:tcPr>
            <w:tcW w:type="dxa" w:w="4152"/>
            <w:tcBorders>
              <w:top w:color="00000A" w:space="0" w:sz="4" w:val="single"/>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Standard twin bed</w:t>
            </w:r>
          </w:p>
        </w:tc>
        <w:tc>
          <w:tcPr>
            <w:tcW w:type="dxa" w:w="3926"/>
            <w:vMerge w:val="restart"/>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2 взрослых + 1 ребенок [0-12,99]</w:t>
            </w:r>
          </w:p>
        </w:tc>
        <w:tc>
          <w:tcPr>
            <w:tcW w:type="dxa" w:w="1590"/>
            <w:vMerge w:val="restart"/>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1000</w:t>
            </w:r>
          </w:p>
        </w:tc>
      </w:tr>
      <w:tr>
        <w:trPr>
          <w:trHeight w:hRule="atLeast" w:val="285"/>
          <w:cantSplit w:val="false"/>
        </w:trPr>
        <w:tc>
          <w:tcPr>
            <w:tcW w:type="dxa" w:w="415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(стандарт двухместный)</w:t>
            </w:r>
          </w:p>
        </w:tc>
        <w:tc>
          <w:tcPr>
            <w:tcW w:type="dxa" w:w="3926"/>
            <w:vMerge w:val="continue"/>
            <w:tcBorders>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c>
          <w:tcPr>
            <w:tcW w:type="dxa" w:w="1590"/>
            <w:vMerge w:val="continue"/>
            <w:tcBorders>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r>
      <w:tr>
        <w:trPr>
          <w:trHeight w:hRule="atLeast" w:val="285"/>
          <w:cantSplit w:val="false"/>
        </w:trPr>
        <w:tc>
          <w:tcPr>
            <w:tcW w:type="dxa" w:w="415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Suite twin bed 2 rooms</w:t>
            </w:r>
          </w:p>
        </w:tc>
        <w:tc>
          <w:tcPr>
            <w:tcW w:type="dxa" w:w="3926"/>
            <w:vMerge w:val="restart"/>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3 взрослых / 2 взрослых + 2 ребенка [0-12,99]</w:t>
            </w:r>
          </w:p>
        </w:tc>
        <w:tc>
          <w:tcPr>
            <w:tcW w:type="dxa" w:w="1590"/>
            <w:vMerge w:val="restart"/>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1800</w:t>
            </w:r>
          </w:p>
        </w:tc>
      </w:tr>
      <w:tr>
        <w:trPr>
          <w:trHeight w:hRule="atLeast" w:val="285"/>
          <w:cantSplit w:val="false"/>
        </w:trPr>
        <w:tc>
          <w:tcPr>
            <w:tcW w:type="dxa" w:w="415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(Люкс 2-х комнатный)</w:t>
            </w:r>
          </w:p>
        </w:tc>
        <w:tc>
          <w:tcPr>
            <w:tcW w:type="dxa" w:w="3926"/>
            <w:vMerge w:val="continue"/>
            <w:tcBorders>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c>
          <w:tcPr>
            <w:tcW w:type="dxa" w:w="1590"/>
            <w:vMerge w:val="continue"/>
            <w:tcBorders>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r>
      <w:tr>
        <w:trPr>
          <w:trHeight w:hRule="atLeast" w:val="285"/>
          <w:cantSplit w:val="false"/>
        </w:trPr>
        <w:tc>
          <w:tcPr>
            <w:tcW w:type="dxa" w:w="4152"/>
            <w:tcBorders>
              <w:left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Superior suite twin bed 3 rooms</w:t>
            </w:r>
          </w:p>
        </w:tc>
        <w:tc>
          <w:tcPr>
            <w:tcW w:type="dxa" w:w="3926"/>
            <w:vMerge w:val="restart"/>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5 взрослых / 4 взрослых + 2 ребенка [0-12,99]</w:t>
            </w:r>
          </w:p>
        </w:tc>
        <w:tc>
          <w:tcPr>
            <w:tcW w:type="dxa" w:w="1590"/>
            <w:vMerge w:val="restart"/>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3000</w:t>
            </w:r>
          </w:p>
        </w:tc>
      </w:tr>
      <w:tr>
        <w:trPr>
          <w:trHeight w:hRule="atLeast" w:val="285"/>
          <w:cantSplit w:val="false"/>
        </w:trPr>
        <w:tc>
          <w:tcPr>
            <w:tcW w:type="dxa" w:w="4152"/>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(Люкс супериор 3-х комнатный)</w:t>
            </w:r>
          </w:p>
        </w:tc>
        <w:tc>
          <w:tcPr>
            <w:tcW w:type="dxa" w:w="3926"/>
            <w:vMerge w:val="continue"/>
            <w:tcBorders>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c>
          <w:tcPr>
            <w:tcW w:type="dxa" w:w="1590"/>
            <w:vMerge w:val="continue"/>
            <w:tcBorders>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r>
    </w:tbl>
    <w:p>
      <w:pPr>
        <w:pStyle w:val="style0"/>
        <w:jc w:val="both"/>
      </w:pPr>
      <w:r>
        <w:rPr>
          <w:sz w:val="20"/>
          <w:szCs w:val="20"/>
        </w:rPr>
      </w:r>
    </w:p>
    <w:p>
      <w:pPr>
        <w:pStyle w:val="style0"/>
        <w:jc w:val="both"/>
      </w:pPr>
      <w:r>
        <w:rPr>
          <w:sz w:val="20"/>
          <w:szCs w:val="20"/>
        </w:rPr>
        <w:t xml:space="preserve">Тарифы указаны в Российских рублях за номер, в сутки, включая дополнительны места, без питания, НДС 18%. </w:t>
      </w:r>
    </w:p>
    <w:p>
      <w:pPr>
        <w:pStyle w:val="style0"/>
        <w:jc w:val="both"/>
      </w:pPr>
      <w:r>
        <w:rPr>
          <w:sz w:val="20"/>
          <w:szCs w:val="20"/>
        </w:rPr>
        <w:t>По тарифу «без питания» может быть продано не более 20% номеров</w:t>
      </w:r>
    </w:p>
    <w:p>
      <w:pPr>
        <w:pStyle w:val="style0"/>
        <w:jc w:val="center"/>
      </w:pPr>
      <w:r>
        <w:rPr>
          <w:b/>
          <w:sz w:val="20"/>
          <w:szCs w:val="20"/>
        </w:rPr>
        <w:t>ТАРИФЫ НА ПИТАНИЕ:</w:t>
      </w:r>
    </w:p>
    <w:tbl>
      <w:tblPr>
        <w:jc w:val="left"/>
        <w:tblInd w:type="dxa" w:w="1"/>
        <w:tblBorders>
          <w:top w:color="00000A" w:space="0" w:sz="4" w:val="single"/>
          <w:left w:color="00000A" w:space="0" w:sz="4" w:val="single"/>
          <w:bottom w:color="00000A" w:space="0" w:sz="4" w:val="single"/>
          <w:right w:color="00000A" w:space="0" w:sz="4" w:val="single"/>
        </w:tblBorders>
      </w:tblPr>
      <w:tblGrid>
        <w:gridCol w:w="1984"/>
        <w:gridCol w:w="1842"/>
        <w:gridCol w:w="1984"/>
        <w:gridCol w:w="2324"/>
      </w:tblGrid>
      <w:tr>
        <w:trPr>
          <w:trHeight w:hRule="atLeast" w:val="285"/>
          <w:cantSplit w:val="false"/>
        </w:trPr>
        <w:tc>
          <w:tcPr>
            <w:tcW w:type="dxa" w:w="19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питание</w:t>
            </w:r>
          </w:p>
        </w:tc>
        <w:tc>
          <w:tcPr>
            <w:tcW w:type="dxa" w:w="1842"/>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взрослый</w:t>
            </w:r>
          </w:p>
        </w:tc>
        <w:tc>
          <w:tcPr>
            <w:tcW w:type="dxa" w:w="1984"/>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ребенок</w:t>
            </w:r>
          </w:p>
        </w:tc>
        <w:tc>
          <w:tcPr>
            <w:tcW w:type="dxa" w:w="2324"/>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ребенок</w:t>
            </w:r>
          </w:p>
        </w:tc>
      </w:tr>
      <w:tr>
        <w:trPr>
          <w:trHeight w:hRule="atLeast" w:val="285"/>
          <w:cantSplit w:val="false"/>
        </w:trPr>
        <w:tc>
          <w:tcPr>
            <w:tcW w:type="dxa" w:w="198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1842"/>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13 - 99</w:t>
            </w:r>
          </w:p>
        </w:tc>
        <w:tc>
          <w:tcPr>
            <w:tcW w:type="dxa" w:w="1984"/>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0-6,99</w:t>
            </w:r>
          </w:p>
        </w:tc>
        <w:tc>
          <w:tcPr>
            <w:tcW w:type="dxa" w:w="2324"/>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7-12,99</w:t>
            </w:r>
          </w:p>
        </w:tc>
      </w:tr>
      <w:tr>
        <w:trPr>
          <w:trHeight w:hRule="atLeast" w:val="285"/>
          <w:cantSplit w:val="false"/>
        </w:trPr>
        <w:tc>
          <w:tcPr>
            <w:tcW w:type="dxa" w:w="198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завтрак</w:t>
            </w:r>
          </w:p>
        </w:tc>
        <w:tc>
          <w:tcPr>
            <w:tcW w:type="dxa" w:w="1842"/>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300</w:t>
            </w:r>
          </w:p>
        </w:tc>
        <w:tc>
          <w:tcPr>
            <w:tcW w:type="dxa" w:w="1984"/>
            <w:vMerge w:val="restart"/>
            <w:tcBorders>
              <w:left w:color="00000A" w:space="0" w:sz="4" w:val="single"/>
              <w:bottom w:color="000001"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0</w:t>
            </w:r>
          </w:p>
        </w:tc>
        <w:tc>
          <w:tcPr>
            <w:tcW w:type="dxa" w:w="2324"/>
            <w:vMerge w:val="restart"/>
            <w:tcBorders>
              <w:left w:color="00000A" w:space="0" w:sz="4" w:val="single"/>
              <w:bottom w:color="000001"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50%</w:t>
            </w:r>
          </w:p>
        </w:tc>
      </w:tr>
      <w:tr>
        <w:trPr>
          <w:trHeight w:hRule="atLeast" w:val="285"/>
          <w:cantSplit w:val="false"/>
        </w:trPr>
        <w:tc>
          <w:tcPr>
            <w:tcW w:type="dxa" w:w="198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обед</w:t>
            </w:r>
          </w:p>
        </w:tc>
        <w:tc>
          <w:tcPr>
            <w:tcW w:type="dxa" w:w="1842"/>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450</w:t>
            </w:r>
          </w:p>
        </w:tc>
        <w:tc>
          <w:tcPr>
            <w:tcW w:type="dxa" w:w="1984"/>
            <w:vMerge w:val="continue"/>
            <w:tcBorders>
              <w:left w:color="00000A" w:space="0" w:sz="4" w:val="single"/>
              <w:bottom w:color="000001"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c>
          <w:tcPr>
            <w:tcW w:type="dxa" w:w="2324"/>
            <w:vMerge w:val="continue"/>
            <w:tcBorders>
              <w:left w:color="00000A" w:space="0" w:sz="4" w:val="single"/>
              <w:bottom w:color="000001"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r>
      <w:tr>
        <w:trPr>
          <w:trHeight w:hRule="atLeast" w:val="285"/>
          <w:cantSplit w:val="false"/>
        </w:trPr>
        <w:tc>
          <w:tcPr>
            <w:tcW w:type="dxa" w:w="1984"/>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ужин</w:t>
            </w:r>
          </w:p>
        </w:tc>
        <w:tc>
          <w:tcPr>
            <w:tcW w:type="dxa" w:w="1842"/>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450</w:t>
            </w:r>
          </w:p>
        </w:tc>
        <w:tc>
          <w:tcPr>
            <w:tcW w:type="dxa" w:w="1984"/>
            <w:vMerge w:val="continue"/>
            <w:tcBorders>
              <w:left w:color="00000A" w:space="0" w:sz="4" w:val="single"/>
              <w:bottom w:color="000001"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c>
          <w:tcPr>
            <w:tcW w:type="dxa" w:w="2324"/>
            <w:vMerge w:val="continue"/>
            <w:tcBorders>
              <w:left w:color="00000A" w:space="0" w:sz="4" w:val="single"/>
              <w:bottom w:color="000001"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r>
    </w:tbl>
    <w:tbl>
      <w:tblPr>
        <w:jc w:val="left"/>
        <w:tblInd w:type="dxa" w:w="-142"/>
        <w:tblBorders/>
      </w:tblPr>
      <w:tblGrid>
        <w:gridCol w:w="4820"/>
        <w:gridCol w:w="4824"/>
      </w:tblGrid>
      <w:tr>
        <w:trPr>
          <w:cantSplit w:val="false"/>
        </w:trPr>
        <w:tc>
          <w:tcPr>
            <w:tcW w:type="dxa" w:w="4820"/>
            <w:tcBorders/>
            <w:shd w:fill="auto" w:val="clear"/>
            <w:tcMar>
              <w:top w:type="dxa" w:w="0"/>
              <w:left w:type="dxa" w:w="108"/>
              <w:bottom w:type="dxa" w:w="0"/>
              <w:right w:type="dxa" w:w="108"/>
            </w:tcMar>
          </w:tcPr>
          <w:p>
            <w:pPr>
              <w:pStyle w:val="style0"/>
              <w:jc w:val="both"/>
            </w:pPr>
            <w:r>
              <w:rPr>
                <w:sz w:val="20"/>
                <w:szCs w:val="20"/>
              </w:rPr>
              <w:t>Принципал:</w:t>
            </w:r>
          </w:p>
          <w:p>
            <w:pPr>
              <w:pStyle w:val="style0"/>
              <w:jc w:val="both"/>
            </w:pPr>
            <w:r>
              <w:rPr>
                <w:sz w:val="20"/>
                <w:szCs w:val="20"/>
              </w:rPr>
              <w:t xml:space="preserve">______________________________ / </w:t>
            </w:r>
          </w:p>
          <w:p>
            <w:pPr>
              <w:pStyle w:val="style0"/>
              <w:spacing w:after="200" w:before="0"/>
              <w:jc w:val="both"/>
            </w:pPr>
            <w:r>
              <w:rPr>
                <w:sz w:val="20"/>
                <w:szCs w:val="20"/>
              </w:rPr>
              <w:t>МП</w:t>
            </w:r>
          </w:p>
        </w:tc>
        <w:tc>
          <w:tcPr>
            <w:tcW w:type="dxa" w:w="4824"/>
            <w:tcBorders/>
            <w:shd w:fill="auto" w:val="clear"/>
            <w:tcMar>
              <w:top w:type="dxa" w:w="0"/>
              <w:left w:type="dxa" w:w="108"/>
              <w:bottom w:type="dxa" w:w="0"/>
              <w:right w:type="dxa" w:w="108"/>
            </w:tcMar>
          </w:tcPr>
          <w:p>
            <w:pPr>
              <w:pStyle w:val="style0"/>
              <w:jc w:val="both"/>
            </w:pPr>
            <w:r>
              <w:rPr>
                <w:sz w:val="20"/>
                <w:szCs w:val="20"/>
              </w:rPr>
              <w:t>Агент:</w:t>
            </w:r>
          </w:p>
          <w:p>
            <w:pPr>
              <w:pStyle w:val="style0"/>
              <w:jc w:val="both"/>
            </w:pPr>
            <w:r>
              <w:rPr>
                <w:sz w:val="20"/>
                <w:szCs w:val="20"/>
              </w:rPr>
              <w:t>______________________ /</w:t>
            </w:r>
          </w:p>
          <w:p>
            <w:pPr>
              <w:pStyle w:val="style0"/>
              <w:spacing w:after="200" w:before="0"/>
              <w:jc w:val="both"/>
            </w:pPr>
            <w:r>
              <w:rPr>
                <w:sz w:val="20"/>
                <w:szCs w:val="20"/>
              </w:rPr>
              <w:t>МП</w:t>
            </w:r>
          </w:p>
        </w:tc>
      </w:tr>
    </w:tbl>
    <w:p>
      <w:pPr>
        <w:pStyle w:val="style0"/>
        <w:jc w:val="both"/>
      </w:pPr>
      <w:r>
        <w:rPr>
          <w:sz w:val="20"/>
          <w:szCs w:val="20"/>
        </w:rPr>
      </w:r>
    </w:p>
    <w:p>
      <w:pPr>
        <w:pStyle w:val="style0"/>
        <w:pageBreakBefore/>
        <w:jc w:val="right"/>
      </w:pPr>
      <w:r>
        <w:rPr>
          <w:b/>
          <w:sz w:val="20"/>
          <w:szCs w:val="20"/>
        </w:rPr>
        <w:t>Приложение № 2 к Агентскому Договору №  ______ от________</w:t>
      </w:r>
    </w:p>
    <w:p>
      <w:pPr>
        <w:pStyle w:val="style0"/>
        <w:jc w:val="right"/>
      </w:pPr>
      <w:r>
        <w:rPr>
          <w:b/>
          <w:sz w:val="20"/>
          <w:szCs w:val="20"/>
        </w:rPr>
        <w:t>Смета на оказание услуг по гарантированной квоте и график платежей</w:t>
      </w:r>
    </w:p>
    <w:p>
      <w:pPr>
        <w:pStyle w:val="style0"/>
        <w:jc w:val="both"/>
      </w:pPr>
      <w:r>
        <w:rPr>
          <w:sz w:val="20"/>
          <w:szCs w:val="20"/>
        </w:rPr>
      </w:r>
    </w:p>
    <w:p>
      <w:pPr>
        <w:pStyle w:val="style0"/>
        <w:jc w:val="center"/>
      </w:pPr>
      <w:r>
        <w:rPr>
          <w:b/>
          <w:sz w:val="20"/>
          <w:szCs w:val="20"/>
        </w:rPr>
        <w:t>СМЕТА:</w:t>
      </w:r>
    </w:p>
    <w:p>
      <w:pPr>
        <w:pStyle w:val="style0"/>
        <w:jc w:val="both"/>
      </w:pPr>
      <w:r>
        <w:rPr>
          <w:sz w:val="20"/>
          <w:szCs w:val="20"/>
        </w:rPr>
      </w:r>
    </w:p>
    <w:tbl>
      <w:tblPr>
        <w:jc w:val="left"/>
        <w:tblInd w:type="dxa" w:w="1"/>
        <w:tblBorders>
          <w:top w:color="00000A" w:space="0" w:sz="4" w:val="single"/>
          <w:left w:color="00000A" w:space="0" w:sz="4" w:val="single"/>
          <w:bottom w:color="00000A" w:space="0" w:sz="4" w:val="single"/>
          <w:right w:color="00000A" w:space="0" w:sz="4" w:val="single"/>
        </w:tblBorders>
      </w:tblPr>
      <w:tblGrid>
        <w:gridCol w:w="5299"/>
        <w:gridCol w:w="1400"/>
        <w:gridCol w:w="1399"/>
        <w:gridCol w:w="1621"/>
      </w:tblGrid>
      <w:tr>
        <w:trPr>
          <w:trHeight w:hRule="atLeast" w:val="300"/>
          <w:cantSplit w:val="false"/>
        </w:trPr>
        <w:tc>
          <w:tcPr>
            <w:tcW w:type="dxa" w:w="529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даты</w:t>
            </w:r>
          </w:p>
        </w:tc>
        <w:tc>
          <w:tcPr>
            <w:tcW w:type="dxa" w:w="1400"/>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1399"/>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01.06.2015</w:t>
            </w:r>
          </w:p>
        </w:tc>
        <w:tc>
          <w:tcPr>
            <w:tcW w:type="dxa" w:w="1621"/>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01.09.2015</w:t>
            </w:r>
          </w:p>
        </w:tc>
      </w:tr>
      <w:tr>
        <w:trPr>
          <w:trHeight w:hRule="atLeast" w:val="300"/>
          <w:cantSplit w:val="false"/>
        </w:trPr>
        <w:tc>
          <w:tcPr>
            <w:tcW w:type="dxa" w:w="529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1400"/>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139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31.08.2015</w:t>
            </w:r>
          </w:p>
        </w:tc>
        <w:tc>
          <w:tcPr>
            <w:tcW w:type="dxa" w:w="1621"/>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30.09.2015</w:t>
            </w:r>
          </w:p>
        </w:tc>
      </w:tr>
      <w:tr>
        <w:trPr>
          <w:trHeight w:hRule="atLeast" w:val="300"/>
          <w:cantSplit w:val="false"/>
        </w:trPr>
        <w:tc>
          <w:tcPr>
            <w:tcW w:type="dxa" w:w="529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дни</w:t>
            </w:r>
          </w:p>
        </w:tc>
        <w:tc>
          <w:tcPr>
            <w:tcW w:type="dxa" w:w="1400"/>
            <w:vMerge w:val="restart"/>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кол-во номеров</w:t>
            </w:r>
          </w:p>
        </w:tc>
        <w:tc>
          <w:tcPr>
            <w:tcW w:type="dxa" w:w="139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92</w:t>
            </w:r>
          </w:p>
        </w:tc>
        <w:tc>
          <w:tcPr>
            <w:tcW w:type="dxa" w:w="1621"/>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30</w:t>
            </w:r>
          </w:p>
        </w:tc>
      </w:tr>
      <w:tr>
        <w:trPr>
          <w:trHeight w:hRule="atLeast" w:val="300"/>
          <w:cantSplit w:val="false"/>
        </w:trPr>
        <w:tc>
          <w:tcPr>
            <w:tcW w:type="dxa" w:w="529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материализация</w:t>
            </w:r>
          </w:p>
        </w:tc>
        <w:tc>
          <w:tcPr>
            <w:tcW w:type="dxa" w:w="1400"/>
            <w:vMerge w:val="continue"/>
            <w:tcBorders>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after="200" w:before="0"/>
              <w:jc w:val="both"/>
            </w:pPr>
            <w:r>
              <w:rPr>
                <w:sz w:val="20"/>
                <w:szCs w:val="20"/>
              </w:rPr>
            </w:r>
          </w:p>
        </w:tc>
        <w:tc>
          <w:tcPr>
            <w:tcW w:type="dxa" w:w="139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0,8</w:t>
            </w:r>
          </w:p>
        </w:tc>
        <w:tc>
          <w:tcPr>
            <w:tcW w:type="dxa" w:w="1621"/>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0,6</w:t>
            </w:r>
          </w:p>
        </w:tc>
      </w:tr>
      <w:tr>
        <w:trPr>
          <w:trHeight w:hRule="atLeast" w:val="300"/>
          <w:cantSplit w:val="false"/>
        </w:trPr>
        <w:tc>
          <w:tcPr>
            <w:tcW w:type="dxa" w:w="529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Standard Single</w:t>
            </w:r>
          </w:p>
        </w:tc>
        <w:tc>
          <w:tcPr>
            <w:tcW w:type="dxa" w:w="1400"/>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20</w:t>
            </w:r>
          </w:p>
        </w:tc>
        <w:tc>
          <w:tcPr>
            <w:tcW w:type="dxa" w:w="139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1100</w:t>
            </w:r>
          </w:p>
        </w:tc>
        <w:tc>
          <w:tcPr>
            <w:tcW w:type="dxa" w:w="1621"/>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1100</w:t>
            </w:r>
          </w:p>
        </w:tc>
      </w:tr>
      <w:tr>
        <w:trPr>
          <w:trHeight w:hRule="atLeast" w:val="300"/>
          <w:cantSplit w:val="false"/>
        </w:trPr>
        <w:tc>
          <w:tcPr>
            <w:tcW w:type="dxa" w:w="529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Standard twin bed</w:t>
            </w:r>
          </w:p>
        </w:tc>
        <w:tc>
          <w:tcPr>
            <w:tcW w:type="dxa" w:w="1400"/>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1420</w:t>
            </w:r>
          </w:p>
        </w:tc>
        <w:tc>
          <w:tcPr>
            <w:tcW w:type="dxa" w:w="139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1600</w:t>
            </w:r>
          </w:p>
        </w:tc>
        <w:tc>
          <w:tcPr>
            <w:tcW w:type="dxa" w:w="1621"/>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1600</w:t>
            </w:r>
          </w:p>
        </w:tc>
      </w:tr>
      <w:tr>
        <w:trPr>
          <w:trHeight w:hRule="atLeast" w:val="300"/>
          <w:cantSplit w:val="false"/>
        </w:trPr>
        <w:tc>
          <w:tcPr>
            <w:tcW w:type="dxa" w:w="529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Suite twin bed 2 rooms</w:t>
            </w:r>
          </w:p>
        </w:tc>
        <w:tc>
          <w:tcPr>
            <w:tcW w:type="dxa" w:w="1400"/>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5</w:t>
            </w:r>
          </w:p>
        </w:tc>
        <w:tc>
          <w:tcPr>
            <w:tcW w:type="dxa" w:w="139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2400</w:t>
            </w:r>
          </w:p>
        </w:tc>
        <w:tc>
          <w:tcPr>
            <w:tcW w:type="dxa" w:w="1621"/>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2400</w:t>
            </w:r>
          </w:p>
        </w:tc>
      </w:tr>
      <w:tr>
        <w:trPr>
          <w:trHeight w:hRule="atLeast" w:val="300"/>
          <w:cantSplit w:val="false"/>
        </w:trPr>
        <w:tc>
          <w:tcPr>
            <w:tcW w:type="dxa" w:w="529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Superior suite twin bed 3 rooms</w:t>
            </w:r>
          </w:p>
        </w:tc>
        <w:tc>
          <w:tcPr>
            <w:tcW w:type="dxa" w:w="1400"/>
            <w:tcBorders>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10</w:t>
            </w:r>
          </w:p>
        </w:tc>
        <w:tc>
          <w:tcPr>
            <w:tcW w:type="dxa" w:w="139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3600</w:t>
            </w:r>
          </w:p>
        </w:tc>
        <w:tc>
          <w:tcPr>
            <w:tcW w:type="dxa" w:w="1621"/>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3600</w:t>
            </w:r>
          </w:p>
        </w:tc>
      </w:tr>
      <w:tr>
        <w:trPr>
          <w:trHeight w:hRule="atLeast" w:val="300"/>
          <w:cantSplit w:val="false"/>
        </w:trPr>
        <w:tc>
          <w:tcPr>
            <w:tcW w:type="dxa" w:w="529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1400"/>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139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172371200</w:t>
            </w:r>
          </w:p>
        </w:tc>
        <w:tc>
          <w:tcPr>
            <w:tcW w:type="dxa" w:w="1621"/>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color w:val="000000"/>
                <w:sz w:val="22"/>
                <w:szCs w:val="22"/>
              </w:rPr>
              <w:t>42156000</w:t>
            </w:r>
          </w:p>
        </w:tc>
      </w:tr>
      <w:tr>
        <w:trPr>
          <w:trHeight w:hRule="atLeast" w:val="300"/>
          <w:cantSplit w:val="false"/>
        </w:trPr>
        <w:tc>
          <w:tcPr>
            <w:tcW w:type="dxa" w:w="5299"/>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200" w:before="0"/>
              <w:jc w:val="both"/>
            </w:pPr>
            <w:r>
              <w:rPr>
                <w:sz w:val="20"/>
                <w:szCs w:val="20"/>
              </w:rPr>
              <w:t>Итого:</w:t>
            </w:r>
          </w:p>
        </w:tc>
        <w:tc>
          <w:tcPr>
            <w:tcW w:type="dxa" w:w="1400"/>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139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r>
          </w:p>
        </w:tc>
        <w:tc>
          <w:tcPr>
            <w:tcW w:type="dxa" w:w="1621"/>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jc w:val="both"/>
            </w:pPr>
            <w:r>
              <w:rPr>
                <w:color w:val="000000"/>
                <w:sz w:val="22"/>
                <w:szCs w:val="22"/>
              </w:rPr>
              <w:t>214 527 200,00</w:t>
            </w:r>
          </w:p>
          <w:p>
            <w:pPr>
              <w:pStyle w:val="style0"/>
              <w:spacing w:after="200" w:before="0"/>
              <w:jc w:val="both"/>
            </w:pPr>
            <w:r>
              <w:rPr>
                <w:sz w:val="20"/>
                <w:szCs w:val="20"/>
              </w:rPr>
            </w:r>
          </w:p>
        </w:tc>
      </w:tr>
    </w:tbl>
    <w:p>
      <w:pPr>
        <w:pStyle w:val="style0"/>
        <w:jc w:val="both"/>
      </w:pPr>
      <w:r>
        <w:rPr>
          <w:sz w:val="20"/>
          <w:szCs w:val="20"/>
        </w:rPr>
      </w:r>
    </w:p>
    <w:p>
      <w:pPr>
        <w:pStyle w:val="style0"/>
        <w:jc w:val="both"/>
      </w:pPr>
      <w:r>
        <w:rPr>
          <w:b/>
          <w:sz w:val="20"/>
          <w:szCs w:val="20"/>
        </w:rPr>
        <w:t>ГРАФИК ПЛАТЕЖЕЙ:</w:t>
      </w:r>
    </w:p>
    <w:p>
      <w:pPr>
        <w:pStyle w:val="style0"/>
        <w:jc w:val="both"/>
      </w:pPr>
      <w:r>
        <w:rPr>
          <w:sz w:val="20"/>
          <w:szCs w:val="20"/>
        </w:rPr>
      </w:r>
    </w:p>
    <w:tbl>
      <w:tblPr>
        <w:jc w:val="left"/>
        <w:tblInd w:type="dxa" w:w="1"/>
        <w:tblBorders>
          <w:top w:color="00000A" w:space="0" w:sz="4" w:val="single"/>
          <w:left w:color="00000A" w:space="0" w:sz="4" w:val="single"/>
          <w:bottom w:color="00000A" w:space="0" w:sz="4" w:val="single"/>
          <w:right w:color="00000A" w:space="0" w:sz="4" w:val="single"/>
        </w:tblBorders>
      </w:tblPr>
      <w:tblGrid>
        <w:gridCol w:w="2500"/>
        <w:gridCol w:w="3219"/>
      </w:tblGrid>
      <w:tr>
        <w:trPr>
          <w:trHeight w:hRule="atLeast" w:val="585"/>
          <w:cantSplit w:val="false"/>
        </w:trPr>
        <w:tc>
          <w:tcPr>
            <w:tcW w:type="dxa" w:w="250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2 недели после подписания договора</w:t>
            </w:r>
          </w:p>
        </w:tc>
        <w:tc>
          <w:tcPr>
            <w:tcW w:type="dxa" w:w="3219"/>
            <w:tcBorders>
              <w:top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rFonts w:ascii="Arial" w:cs="Arial" w:hAnsi="Arial"/>
                <w:color w:val="000000"/>
                <w:sz w:val="22"/>
                <w:szCs w:val="22"/>
              </w:rPr>
              <w:t>50 000 000р.</w:t>
            </w:r>
          </w:p>
        </w:tc>
      </w:tr>
      <w:tr>
        <w:trPr>
          <w:trHeight w:hRule="atLeast" w:val="300"/>
          <w:cantSplit w:val="false"/>
        </w:trPr>
        <w:tc>
          <w:tcPr>
            <w:tcW w:type="dxa" w:w="250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20.03.2015</w:t>
            </w:r>
          </w:p>
        </w:tc>
        <w:tc>
          <w:tcPr>
            <w:tcW w:type="dxa" w:w="321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rFonts w:ascii="Arial" w:cs="Arial" w:hAnsi="Arial"/>
                <w:color w:val="000000"/>
                <w:sz w:val="22"/>
                <w:szCs w:val="22"/>
              </w:rPr>
              <w:t>32 905 440р.</w:t>
            </w:r>
          </w:p>
        </w:tc>
      </w:tr>
      <w:tr>
        <w:trPr>
          <w:trHeight w:hRule="atLeast" w:val="300"/>
          <w:cantSplit w:val="false"/>
        </w:trPr>
        <w:tc>
          <w:tcPr>
            <w:tcW w:type="dxa" w:w="250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20.04.2015</w:t>
            </w:r>
          </w:p>
        </w:tc>
        <w:tc>
          <w:tcPr>
            <w:tcW w:type="dxa" w:w="321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rFonts w:ascii="Arial" w:cs="Arial" w:hAnsi="Arial"/>
                <w:color w:val="000000"/>
                <w:sz w:val="22"/>
                <w:szCs w:val="22"/>
              </w:rPr>
              <w:t>32 905 440р.</w:t>
            </w:r>
          </w:p>
        </w:tc>
      </w:tr>
      <w:tr>
        <w:trPr>
          <w:trHeight w:hRule="atLeast" w:val="300"/>
          <w:cantSplit w:val="false"/>
        </w:trPr>
        <w:tc>
          <w:tcPr>
            <w:tcW w:type="dxa" w:w="250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20.06.2015</w:t>
            </w:r>
          </w:p>
        </w:tc>
        <w:tc>
          <w:tcPr>
            <w:tcW w:type="dxa" w:w="321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rFonts w:ascii="Arial" w:cs="Arial" w:hAnsi="Arial"/>
                <w:color w:val="000000"/>
                <w:sz w:val="22"/>
                <w:szCs w:val="22"/>
              </w:rPr>
              <w:t>32 905 440р.</w:t>
            </w:r>
          </w:p>
        </w:tc>
      </w:tr>
      <w:tr>
        <w:trPr>
          <w:trHeight w:hRule="atLeast" w:val="300"/>
          <w:cantSplit w:val="false"/>
        </w:trPr>
        <w:tc>
          <w:tcPr>
            <w:tcW w:type="dxa" w:w="250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20.07.2015</w:t>
            </w:r>
          </w:p>
        </w:tc>
        <w:tc>
          <w:tcPr>
            <w:tcW w:type="dxa" w:w="321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rFonts w:ascii="Arial" w:cs="Arial" w:hAnsi="Arial"/>
                <w:color w:val="000000"/>
                <w:sz w:val="22"/>
                <w:szCs w:val="22"/>
              </w:rPr>
              <w:t>32 905 440р.</w:t>
            </w:r>
          </w:p>
        </w:tc>
      </w:tr>
      <w:tr>
        <w:trPr>
          <w:trHeight w:hRule="atLeast" w:val="300"/>
          <w:cantSplit w:val="false"/>
        </w:trPr>
        <w:tc>
          <w:tcPr>
            <w:tcW w:type="dxa" w:w="250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20.08.2015</w:t>
            </w:r>
          </w:p>
        </w:tc>
        <w:tc>
          <w:tcPr>
            <w:tcW w:type="dxa" w:w="321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rFonts w:ascii="Arial" w:cs="Arial" w:hAnsi="Arial"/>
                <w:color w:val="000000"/>
                <w:sz w:val="22"/>
                <w:szCs w:val="22"/>
              </w:rPr>
              <w:t>32 905 440р.</w:t>
            </w:r>
          </w:p>
        </w:tc>
      </w:tr>
      <w:tr>
        <w:trPr>
          <w:trHeight w:hRule="atLeast" w:val="300"/>
          <w:cantSplit w:val="false"/>
        </w:trPr>
        <w:tc>
          <w:tcPr>
            <w:tcW w:type="dxa" w:w="2500"/>
            <w:tcBorders>
              <w:left w:color="00000A" w:space="0" w:sz="4" w:val="single"/>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both"/>
            </w:pPr>
            <w:r>
              <w:rPr>
                <w:sz w:val="20"/>
                <w:szCs w:val="20"/>
              </w:rPr>
              <w:t>Итого:</w:t>
            </w:r>
          </w:p>
        </w:tc>
        <w:tc>
          <w:tcPr>
            <w:tcW w:type="dxa" w:w="3219"/>
            <w:tcBorders>
              <w:bottom w:color="00000A" w:space="0" w:sz="4" w:val="single"/>
              <w:right w:color="00000A" w:space="0" w:sz="4" w:val="single"/>
            </w:tcBorders>
            <w:shd w:fill="FFFFFF" w:val="clear"/>
            <w:tcMar>
              <w:top w:type="dxa" w:w="0"/>
              <w:left w:type="dxa" w:w="108"/>
              <w:bottom w:type="dxa" w:w="0"/>
              <w:right w:type="dxa" w:w="108"/>
            </w:tcMar>
            <w:vAlign w:val="bottom"/>
          </w:tcPr>
          <w:p>
            <w:pPr>
              <w:pStyle w:val="style0"/>
              <w:spacing w:after="200" w:before="0"/>
              <w:jc w:val="right"/>
            </w:pPr>
            <w:r>
              <w:rPr>
                <w:rFonts w:ascii="Arial" w:cs="Arial" w:hAnsi="Arial"/>
                <w:color w:val="000000"/>
                <w:sz w:val="22"/>
                <w:szCs w:val="22"/>
              </w:rPr>
              <w:t>214 527 200р.</w:t>
            </w:r>
          </w:p>
        </w:tc>
      </w:tr>
    </w:tbl>
    <w:p>
      <w:pPr>
        <w:pStyle w:val="style0"/>
        <w:spacing w:after="200" w:before="0"/>
        <w:jc w:val="both"/>
      </w:pPr>
      <w:r>
        <w:rPr/>
      </w:r>
    </w:p>
    <w:p>
      <w:pPr>
        <w:sectPr>
          <w:headerReference r:id="rId2" w:type="default"/>
          <w:footerReference r:id="rId3" w:type="default"/>
          <w:type w:val="nextPage"/>
          <w:pgSz w:h="16838" w:w="11906"/>
          <w:pgSz w:h="16838" w:w="11906"/>
          <w:pgMar w:bottom="1927" w:footer="1134" w:gutter="0" w:header="1134" w:left="1134" w:right="1134" w:top="1417"/>
          <w:pgNumType w:fmt="decimal"/>
          <w:formProt w:val="false"/>
          <w:textDirection w:val="lrTb"/>
          <w:textDirection w:val="lrTb"/>
        </w:sectPr>
      </w:pPr>
    </w:p>
    <w:sectPr>
      <w:type w:val="continuous"/>
      <w:pgSz w:h="16838" w:w="11906"/>
      <w:pgMar w:bottom="1927" w:footer="1134" w:gutter="0" w:header="1134" w:left="1134" w:right="1134" w:top="1417"/>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17"/>
      </w:rPr>
      <w:fldChar w:fldCharType="begin"/>
    </w:r>
    <w:r>
      <w:instrText> PAGE </w:instrText>
    </w:r>
    <w:r>
      <w:fldChar w:fldCharType="separate"/>
    </w:r>
    <w:r>
      <w:t>10</w:t>
    </w:r>
    <w:r>
      <w:fldChar w:fldCharType="end"/>
    </w:r>
    <w:pStyle w:val="style43"/>
    <w:pPr/>
  </w:p>
  <w:p>
    <w:pPr>
      <w:pStyle w:val="style43"/>
      <w:spacing w:after="200" w:before="0"/>
      <w:ind w:hanging="0" w:left="0" w:right="360"/>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4"/>
      <w:spacing w:after="200" w:before="0"/>
      <w:jc w:val="center"/>
    </w:pPr>
    <w:r>
      <w:rPr/>
    </w:r>
  </w:p>
</w:hdr>
</file>

<file path=word/numbering.xml><?xml version="1.0" encoding="utf-8"?>
<w:numbering xmlns:w="http://schemas.openxmlformats.org/wordprocessingml/2006/main">
  <w:abstractNum w:abstractNumId="1">
    <w:lvl w:ilvl="0">
      <w:start w:val="1"/>
      <w:numFmt w:val="decimal"/>
      <w:lvlText w:val="%1."/>
      <w:lvlJc w:val="left"/>
      <w:pPr>
        <w:ind w:hanging="360" w:left="360"/>
      </w:pPr>
    </w:lvl>
    <w:lvl w:ilvl="1">
      <w:start w:val="1"/>
      <w:numFmt w:val="none"/>
      <w:suff w:val="nothing"/>
      <w:lvlText w:val=".1."/>
      <w:lvlJc w:val="left"/>
      <w:pPr>
        <w:ind w:hanging="360" w:left="720"/>
      </w:pPr>
    </w:lvl>
    <w:lvl w:ilvl="2">
      <w:start w:val="1"/>
      <w:numFmt w:val="none"/>
      <w:suff w:val="nothing"/>
      <w:lvlText w:val=".1.1"/>
      <w:lvlJc w:val="left"/>
      <w:pPr>
        <w:ind w:hanging="360" w:left="108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decimal"/>
      <w:lvlText w:val="%1."/>
      <w:lvlJc w:val="left"/>
      <w:pPr>
        <w:ind w:hanging="360" w:left="360"/>
      </w:pPr>
    </w:lvl>
    <w:lvl w:ilvl="1">
      <w:start w:val="1"/>
      <w:numFmt w:val="decimal"/>
      <w:lvlText w:val="%1.%2."/>
      <w:lvlJc w:val="left"/>
      <w:pPr>
        <w:ind w:hanging="225" w:left="792"/>
      </w:pPr>
      <w:rPr>
        <w:b/>
      </w:r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abstractNumId="3">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Symbol" w:cs="Symbol" w:hAnsi="Symbol" w:hint="default"/>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Базовый"/>
    <w:next w:val="style0"/>
    <w:pPr>
      <w:widowControl/>
      <w:tabs>
        <w:tab w:leader="none" w:pos="708" w:val="left"/>
      </w:tabs>
      <w:suppressAutoHyphens w:val="true"/>
      <w:spacing w:after="200" w:before="0" w:line="276" w:lineRule="auto"/>
    </w:pPr>
    <w:rPr>
      <w:rFonts w:ascii="Times New Roman" w:cs="Times New Roman" w:eastAsia="Times New Roman" w:hAnsi="Times New Roman"/>
      <w:color w:val="auto"/>
      <w:sz w:val="24"/>
      <w:szCs w:val="24"/>
      <w:lang w:bidi="ar-SA" w:eastAsia="ru-RU" w:val="ru-RU"/>
    </w:rPr>
  </w:style>
  <w:style w:styleId="style1" w:type="paragraph">
    <w:name w:val="Заголовок 1"/>
    <w:basedOn w:val="style0"/>
    <w:next w:val="style30"/>
    <w:pPr>
      <w:keepNext/>
    </w:pPr>
    <w:rPr>
      <w:b/>
      <w:szCs w:val="20"/>
    </w:rPr>
  </w:style>
  <w:style w:styleId="style2" w:type="paragraph">
    <w:name w:val="Заголовок 2"/>
    <w:basedOn w:val="style0"/>
    <w:next w:val="style30"/>
    <w:pPr>
      <w:keepNext/>
      <w:numPr>
        <w:ilvl w:val="0"/>
        <w:numId w:val="1"/>
      </w:numPr>
    </w:pPr>
    <w:rPr>
      <w:b/>
      <w:sz w:val="20"/>
      <w:szCs w:val="20"/>
      <w:u w:val="single"/>
    </w:rPr>
  </w:style>
  <w:style w:styleId="style3" w:type="paragraph">
    <w:name w:val="Заголовок 3"/>
    <w:basedOn w:val="style0"/>
    <w:next w:val="style30"/>
    <w:pPr>
      <w:keepNext/>
      <w:numPr>
        <w:ilvl w:val="0"/>
        <w:numId w:val="1"/>
      </w:numPr>
      <w:jc w:val="center"/>
    </w:pPr>
    <w:rPr>
      <w:b/>
      <w:bCs/>
      <w:sz w:val="22"/>
    </w:rPr>
  </w:style>
  <w:style w:styleId="style4" w:type="paragraph">
    <w:name w:val="Заголовок 4"/>
    <w:basedOn w:val="style0"/>
    <w:next w:val="style30"/>
    <w:pPr>
      <w:keepNext/>
      <w:numPr>
        <w:ilvl w:val="3"/>
        <w:numId w:val="1"/>
      </w:numPr>
      <w:ind w:firstLine="708" w:left="2124" w:right="0"/>
      <w:outlineLvl w:val="3"/>
    </w:pPr>
    <w:rPr>
      <w:b/>
      <w:lang w:val="en-US"/>
    </w:rPr>
  </w:style>
  <w:style w:styleId="style15" w:type="character">
    <w:name w:val="Default Paragraph Font"/>
    <w:next w:val="style15"/>
    <w:rPr/>
  </w:style>
  <w:style w:styleId="style16" w:type="character">
    <w:name w:val="Интернет-ссылка"/>
    <w:next w:val="style16"/>
    <w:rPr>
      <w:color w:val="0000FF"/>
      <w:u w:val="single"/>
      <w:lang w:bidi="ru-RU" w:eastAsia="ru-RU" w:val="ru-RU"/>
    </w:rPr>
  </w:style>
  <w:style w:styleId="style17" w:type="character">
    <w:name w:val="page number"/>
    <w:basedOn w:val="style15"/>
    <w:next w:val="style17"/>
    <w:rPr/>
  </w:style>
  <w:style w:styleId="style18" w:type="character">
    <w:name w:val="annotation reference"/>
    <w:next w:val="style18"/>
    <w:rPr>
      <w:sz w:val="16"/>
      <w:szCs w:val="16"/>
    </w:rPr>
  </w:style>
  <w:style w:styleId="style19" w:type="character">
    <w:name w:val="Текст примечания Знак"/>
    <w:basedOn w:val="style15"/>
    <w:next w:val="style19"/>
    <w:rPr/>
  </w:style>
  <w:style w:styleId="style20" w:type="character">
    <w:name w:val="Тема примечания Знак"/>
    <w:next w:val="style20"/>
    <w:rPr>
      <w:b/>
      <w:bCs/>
    </w:rPr>
  </w:style>
  <w:style w:styleId="style21" w:type="character">
    <w:name w:val="Нижний колонтитул Знак"/>
    <w:next w:val="style21"/>
    <w:rPr>
      <w:sz w:val="24"/>
      <w:szCs w:val="24"/>
      <w:lang w:bidi="ar-SA" w:eastAsia="ru-RU" w:val="ru-RU"/>
    </w:rPr>
  </w:style>
  <w:style w:styleId="style22" w:type="character">
    <w:name w:val="Текст Знак"/>
    <w:next w:val="style22"/>
    <w:rPr>
      <w:rFonts w:ascii="Courier New" w:hAnsi="Courier New"/>
    </w:rPr>
  </w:style>
  <w:style w:styleId="style23" w:type="character">
    <w:name w:val="Основной текст Знак"/>
    <w:basedOn w:val="style15"/>
    <w:next w:val="style23"/>
    <w:rPr>
      <w:sz w:val="22"/>
      <w:szCs w:val="24"/>
    </w:rPr>
  </w:style>
  <w:style w:styleId="style24" w:type="character">
    <w:name w:val="ПУНКТ Знак"/>
    <w:basedOn w:val="style15"/>
    <w:next w:val="style24"/>
    <w:rPr>
      <w:b/>
      <w:sz w:val="18"/>
      <w:szCs w:val="18"/>
    </w:rPr>
  </w:style>
  <w:style w:styleId="style25" w:type="character">
    <w:name w:val="Подпункт Знак"/>
    <w:basedOn w:val="style15"/>
    <w:next w:val="style25"/>
    <w:rPr>
      <w:sz w:val="18"/>
      <w:szCs w:val="18"/>
    </w:rPr>
  </w:style>
  <w:style w:styleId="style26" w:type="character">
    <w:name w:val="Подпункт 2 Знак"/>
    <w:basedOn w:val="style15"/>
    <w:next w:val="style26"/>
    <w:rPr>
      <w:sz w:val="18"/>
      <w:szCs w:val="18"/>
    </w:rPr>
  </w:style>
  <w:style w:styleId="style27" w:type="character">
    <w:name w:val="ListLabel 1"/>
    <w:next w:val="style27"/>
    <w:rPr>
      <w:b/>
    </w:rPr>
  </w:style>
  <w:style w:styleId="style28" w:type="character">
    <w:name w:val="Маркеры списка"/>
    <w:next w:val="style28"/>
    <w:rPr>
      <w:rFonts w:ascii="OpenSymbol" w:cs="OpenSymbol" w:eastAsia="OpenSymbol" w:hAnsi="OpenSymbol"/>
    </w:rPr>
  </w:style>
  <w:style w:styleId="style29" w:type="paragraph">
    <w:name w:val="Заголовок"/>
    <w:basedOn w:val="style0"/>
    <w:next w:val="style30"/>
    <w:pPr>
      <w:keepNext/>
      <w:spacing w:after="120" w:before="240"/>
    </w:pPr>
    <w:rPr>
      <w:rFonts w:ascii="Arial" w:cs="Lohit Hindi" w:eastAsia="Droid Sans" w:hAnsi="Arial"/>
      <w:sz w:val="28"/>
      <w:szCs w:val="28"/>
    </w:rPr>
  </w:style>
  <w:style w:styleId="style30" w:type="paragraph">
    <w:name w:val="Основной текст"/>
    <w:basedOn w:val="style0"/>
    <w:next w:val="style30"/>
    <w:pPr/>
    <w:rPr>
      <w:sz w:val="22"/>
    </w:rPr>
  </w:style>
  <w:style w:styleId="style31" w:type="paragraph">
    <w:name w:val="Список"/>
    <w:basedOn w:val="style30"/>
    <w:next w:val="style31"/>
    <w:pPr/>
    <w:rPr>
      <w:rFonts w:cs="Lohit Hindi"/>
    </w:rPr>
  </w:style>
  <w:style w:styleId="style32" w:type="paragraph">
    <w:name w:val="Название"/>
    <w:basedOn w:val="style0"/>
    <w:next w:val="style32"/>
    <w:pPr>
      <w:suppressLineNumbers/>
      <w:spacing w:after="120" w:before="120"/>
    </w:pPr>
    <w:rPr>
      <w:rFonts w:cs="Lohit Hindi"/>
      <w:i/>
      <w:iCs/>
      <w:sz w:val="24"/>
      <w:szCs w:val="24"/>
    </w:rPr>
  </w:style>
  <w:style w:styleId="style33" w:type="paragraph">
    <w:name w:val="Указатель"/>
    <w:basedOn w:val="style0"/>
    <w:next w:val="style33"/>
    <w:pPr>
      <w:suppressLineNumbers/>
    </w:pPr>
    <w:rPr>
      <w:rFonts w:cs="Lohit Hindi"/>
    </w:rPr>
  </w:style>
  <w:style w:styleId="style34" w:type="paragraph">
    <w:name w:val="Body Text 3"/>
    <w:basedOn w:val="style0"/>
    <w:next w:val="style34"/>
    <w:pPr>
      <w:tabs>
        <w:tab w:leader="none" w:pos="540" w:val="left"/>
      </w:tabs>
      <w:jc w:val="both"/>
    </w:pPr>
    <w:rPr>
      <w:sz w:val="22"/>
      <w:szCs w:val="22"/>
    </w:rPr>
  </w:style>
  <w:style w:styleId="style35" w:type="paragraph">
    <w:name w:val="Заглавие"/>
    <w:basedOn w:val="style0"/>
    <w:next w:val="style36"/>
    <w:pPr>
      <w:jc w:val="center"/>
    </w:pPr>
    <w:rPr>
      <w:b/>
      <w:bCs/>
      <w:sz w:val="22"/>
      <w:szCs w:val="36"/>
    </w:rPr>
  </w:style>
  <w:style w:styleId="style36" w:type="paragraph">
    <w:name w:val="Подзаголовок"/>
    <w:basedOn w:val="style0"/>
    <w:next w:val="style30"/>
    <w:pPr>
      <w:jc w:val="center"/>
    </w:pPr>
    <w:rPr>
      <w:b/>
      <w:i/>
      <w:iCs/>
      <w:sz w:val="28"/>
      <w:szCs w:val="20"/>
    </w:rPr>
  </w:style>
  <w:style w:styleId="style37" w:type="paragraph">
    <w:name w:val="Plain Text"/>
    <w:basedOn w:val="style0"/>
    <w:next w:val="style37"/>
    <w:pPr/>
    <w:rPr>
      <w:rFonts w:ascii="Courier New" w:hAnsi="Courier New"/>
      <w:sz w:val="20"/>
      <w:szCs w:val="20"/>
    </w:rPr>
  </w:style>
  <w:style w:styleId="style38" w:type="paragraph">
    <w:name w:val="Body Text 2"/>
    <w:basedOn w:val="style0"/>
    <w:next w:val="style38"/>
    <w:pPr/>
    <w:rPr>
      <w:b/>
      <w:sz w:val="20"/>
      <w:szCs w:val="20"/>
    </w:rPr>
  </w:style>
  <w:style w:styleId="style39" w:type="paragraph">
    <w:name w:val="Основной текст с отступом"/>
    <w:basedOn w:val="style0"/>
    <w:next w:val="style39"/>
    <w:pPr>
      <w:ind w:firstLine="540" w:left="283" w:right="0"/>
      <w:jc w:val="both"/>
    </w:pPr>
    <w:rPr/>
  </w:style>
  <w:style w:styleId="style40" w:type="paragraph">
    <w:name w:val="Body Text Indent 2"/>
    <w:basedOn w:val="style0"/>
    <w:next w:val="style40"/>
    <w:pPr>
      <w:tabs>
        <w:tab w:leader="none" w:pos="1080" w:val="left"/>
      </w:tabs>
      <w:ind w:firstLine="540" w:left="0" w:right="0"/>
      <w:jc w:val="both"/>
    </w:pPr>
    <w:rPr>
      <w:sz w:val="22"/>
    </w:rPr>
  </w:style>
  <w:style w:styleId="style41" w:type="paragraph">
    <w:name w:val="ConsNormal"/>
    <w:next w:val="style41"/>
    <w:pPr>
      <w:widowControl/>
      <w:tabs>
        <w:tab w:leader="none" w:pos="708" w:val="left"/>
      </w:tabs>
      <w:suppressAutoHyphens w:val="true"/>
      <w:ind w:firstLine="720" w:left="0" w:right="19772"/>
    </w:pPr>
    <w:rPr>
      <w:rFonts w:ascii="Arial" w:cs="Arial" w:eastAsia="Times New Roman" w:hAnsi="Arial"/>
      <w:color w:val="auto"/>
      <w:sz w:val="20"/>
      <w:szCs w:val="20"/>
      <w:lang w:bidi="ar-SA" w:eastAsia="ru-RU" w:val="ru-RU"/>
    </w:rPr>
  </w:style>
  <w:style w:styleId="style42" w:type="paragraph">
    <w:name w:val="Body Text Indent 3"/>
    <w:basedOn w:val="style0"/>
    <w:next w:val="style42"/>
    <w:pPr>
      <w:ind w:firstLine="708" w:left="0" w:right="0"/>
      <w:jc w:val="both"/>
    </w:pPr>
    <w:rPr>
      <w:sz w:val="22"/>
    </w:rPr>
  </w:style>
  <w:style w:styleId="style43" w:type="paragraph">
    <w:name w:val="Нижний колонтитул"/>
    <w:basedOn w:val="style0"/>
    <w:next w:val="style43"/>
    <w:pPr>
      <w:suppressLineNumbers/>
      <w:tabs>
        <w:tab w:leader="none" w:pos="4677" w:val="center"/>
        <w:tab w:leader="none" w:pos="9355" w:val="right"/>
      </w:tabs>
    </w:pPr>
    <w:rPr/>
  </w:style>
  <w:style w:styleId="style44" w:type="paragraph">
    <w:name w:val="Верхний колонтитул"/>
    <w:basedOn w:val="style0"/>
    <w:next w:val="style44"/>
    <w:pPr>
      <w:suppressLineNumbers/>
      <w:tabs>
        <w:tab w:leader="none" w:pos="4677" w:val="center"/>
        <w:tab w:leader="none" w:pos="9355" w:val="right"/>
      </w:tabs>
    </w:pPr>
    <w:rPr/>
  </w:style>
  <w:style w:styleId="style45" w:type="paragraph">
    <w:name w:val="Balloon Text"/>
    <w:basedOn w:val="style0"/>
    <w:next w:val="style45"/>
    <w:pPr/>
    <w:rPr>
      <w:rFonts w:ascii="Tahoma" w:cs="Tahoma" w:hAnsi="Tahoma"/>
      <w:sz w:val="16"/>
      <w:szCs w:val="16"/>
    </w:rPr>
  </w:style>
  <w:style w:styleId="style46" w:type="paragraph">
    <w:name w:val="annotation text"/>
    <w:basedOn w:val="style0"/>
    <w:next w:val="style46"/>
    <w:pPr/>
    <w:rPr>
      <w:sz w:val="20"/>
      <w:szCs w:val="20"/>
    </w:rPr>
  </w:style>
  <w:style w:styleId="style47" w:type="paragraph">
    <w:name w:val="annotation subject"/>
    <w:basedOn w:val="style46"/>
    <w:next w:val="style47"/>
    <w:pPr/>
    <w:rPr>
      <w:b/>
      <w:bCs/>
    </w:rPr>
  </w:style>
  <w:style w:styleId="style48" w:type="paragraph">
    <w:name w:val="Текст1"/>
    <w:basedOn w:val="style0"/>
    <w:next w:val="style48"/>
    <w:pPr>
      <w:suppressAutoHyphens w:val="true"/>
    </w:pPr>
    <w:rPr>
      <w:rFonts w:ascii="Courier New" w:hAnsi="Courier New"/>
      <w:sz w:val="20"/>
      <w:szCs w:val="20"/>
      <w:lang w:eastAsia="ar-SA"/>
    </w:rPr>
  </w:style>
  <w:style w:styleId="style49" w:type="paragraph">
    <w:name w:val="List Paragraph"/>
    <w:basedOn w:val="style0"/>
    <w:next w:val="style49"/>
    <w:pPr>
      <w:spacing w:after="200" w:before="0" w:line="276" w:lineRule="auto"/>
      <w:ind w:hanging="0" w:left="720" w:right="0"/>
    </w:pPr>
    <w:rPr>
      <w:rFonts w:ascii="Calibri" w:eastAsia="Calibri" w:hAnsi="Calibri"/>
      <w:sz w:val="22"/>
      <w:szCs w:val="22"/>
      <w:lang w:eastAsia="en-US"/>
    </w:rPr>
  </w:style>
  <w:style w:styleId="style50" w:type="paragraph">
    <w:name w:val="Normal (Web)"/>
    <w:basedOn w:val="style0"/>
    <w:next w:val="style50"/>
    <w:pPr>
      <w:spacing w:after="28" w:before="28"/>
    </w:pPr>
    <w:rPr/>
  </w:style>
  <w:style w:styleId="style51" w:type="paragraph">
    <w:name w:val="Revision"/>
    <w:next w:val="style51"/>
    <w:pPr>
      <w:widowControl/>
      <w:tabs>
        <w:tab w:leader="none" w:pos="708" w:val="left"/>
      </w:tabs>
      <w:suppressAutoHyphens w:val="true"/>
    </w:pPr>
    <w:rPr>
      <w:rFonts w:ascii="Times New Roman" w:cs="Times New Roman" w:eastAsia="Times New Roman" w:hAnsi="Times New Roman"/>
      <w:color w:val="auto"/>
      <w:sz w:val="24"/>
      <w:szCs w:val="24"/>
      <w:lang w:bidi="ar-SA" w:eastAsia="ru-RU" w:val="ru-RU"/>
    </w:rPr>
  </w:style>
  <w:style w:styleId="style52" w:type="paragraph">
    <w:name w:val="ПУНКТ"/>
    <w:basedOn w:val="style0"/>
    <w:next w:val="style52"/>
    <w:pPr>
      <w:numPr>
        <w:ilvl w:val="0"/>
        <w:numId w:val="1"/>
      </w:numPr>
      <w:tabs>
        <w:tab w:leader="none" w:pos="5910" w:val="left"/>
      </w:tabs>
      <w:jc w:val="both"/>
      <w:outlineLvl w:val="0"/>
    </w:pPr>
    <w:rPr>
      <w:b/>
      <w:sz w:val="18"/>
      <w:szCs w:val="18"/>
    </w:rPr>
  </w:style>
  <w:style w:styleId="style53" w:type="paragraph">
    <w:name w:val="Подпункт"/>
    <w:basedOn w:val="style0"/>
    <w:next w:val="style53"/>
    <w:pPr>
      <w:numPr>
        <w:ilvl w:val="1"/>
        <w:numId w:val="1"/>
      </w:numPr>
      <w:jc w:val="both"/>
      <w:outlineLvl w:val="1"/>
    </w:pPr>
    <w:rPr>
      <w:sz w:val="18"/>
      <w:szCs w:val="18"/>
    </w:rPr>
  </w:style>
  <w:style w:styleId="style54" w:type="paragraph">
    <w:name w:val="Подпункт 2"/>
    <w:basedOn w:val="style0"/>
    <w:next w:val="style54"/>
    <w:pPr>
      <w:numPr>
        <w:ilvl w:val="2"/>
        <w:numId w:val="1"/>
      </w:numPr>
      <w:tabs>
        <w:tab w:leader="none" w:pos="1080" w:val="left"/>
      </w:tabs>
      <w:jc w:val="both"/>
      <w:outlineLvl w:val="2"/>
    </w:pPr>
    <w:rPr>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Договор_ТУРОПЕРАТОР_АЗИМУТ_с приложениями_2014_2015_WHS3_BTAN3</Template>
  <TotalTime>534</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2015-01-26T09:35:00.00Z</dcterms:created>
  <dc:creator>Shutko Olga</dc:creator>
  <cp:lastModifiedBy>Aviator</cp:lastModifiedBy>
  <cp:lastPrinted>2013-10-17T18:27:00.00Z</cp:lastPrinted>
  <dcterms:modified xsi:type="dcterms:W3CDTF">2015-02-02T14:05:00.00Z</dcterms:modified>
  <cp:revision>12</cp:revision>
  <dc:title>ДОГОВОР №__________</dc:title>
</cp:coreProperties>
</file>