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jc w:val="right"/>
      </w:pPr>
      <w:r>
        <w:rPr>
          <w:rFonts w:ascii="Times New Roman" w:hAnsi="Times New Roman"/>
          <w:sz w:val="24"/>
          <w:szCs w:val="24"/>
        </w:rPr>
        <w:t>Приложение № 1</w:t>
      </w:r>
    </w:p>
    <w:p>
      <w:pPr>
        <w:pStyle w:val="style0"/>
        <w:spacing w:after="0" w:before="0" w:line="100" w:lineRule="atLeast"/>
        <w:jc w:val="right"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агентскому договору №8 от «    »                            2015 года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rFonts w:ascii="Times New Roman" w:hAnsi="Times New Roman"/>
          <w:b/>
          <w:sz w:val="24"/>
          <w:szCs w:val="24"/>
        </w:rPr>
        <w:t>Соглашение о блоке мест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sz w:val="24"/>
          <w:szCs w:val="24"/>
        </w:rPr>
        <w:t>Между ИП Дудашвили О.М. и ООО «БГ Европа»</w:t>
      </w:r>
    </w:p>
    <w:p>
      <w:pPr>
        <w:pStyle w:val="style0"/>
        <w:jc w:val="center"/>
      </w:pPr>
      <w:r>
        <w:rPr/>
      </w:r>
    </w:p>
    <w:p>
      <w:pPr>
        <w:pStyle w:val="style22"/>
        <w:numPr>
          <w:ilvl w:val="0"/>
          <w:numId w:val="1"/>
        </w:numPr>
        <w:ind w:hanging="0" w:left="360" w:right="0"/>
        <w:jc w:val="both"/>
      </w:pPr>
      <w:r>
        <w:rPr>
          <w:rFonts w:ascii="Times New Roman" w:hAnsi="Times New Roman"/>
          <w:sz w:val="24"/>
          <w:szCs w:val="24"/>
        </w:rPr>
        <w:t>На условиях настоящего договора, Принципал предоставляет Агенту для размещения клиентов  квоту номеров в гостинице «ВатерЛоо» на  период с 11.06.2015 года по 30.09.2015 года.</w:t>
      </w:r>
    </w:p>
    <w:tbl>
      <w:tblPr>
        <w:jc w:val="center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4538"/>
        <w:gridCol w:w="3253"/>
        <w:gridCol w:w="1276"/>
      </w:tblGrid>
      <w:tr>
        <w:trPr>
          <w:trHeight w:hRule="atLeast" w:val="704"/>
          <w:cantSplit w:val="true"/>
        </w:trPr>
        <w:tc>
          <w:tcPr>
            <w:tcW w:type="dxa" w:w="453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Тип номера</w:t>
            </w:r>
          </w:p>
        </w:tc>
        <w:tc>
          <w:tcPr>
            <w:tcW w:type="dxa" w:w="325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Комплектация номера</w:t>
            </w:r>
          </w:p>
        </w:tc>
        <w:tc>
          <w:tcPr>
            <w:tcW w:type="dxa" w:w="12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Кол-во номеров</w:t>
            </w:r>
          </w:p>
        </w:tc>
      </w:tr>
      <w:tr>
        <w:trPr>
          <w:trHeight w:hRule="atLeast" w:val="386"/>
          <w:cantSplit w:val="true"/>
        </w:trPr>
        <w:tc>
          <w:tcPr>
            <w:tcW w:type="dxa" w:w="453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rFonts w:ascii="Times New Roman" w:hAnsi="Times New Roman"/>
                <w:sz w:val="24"/>
              </w:rPr>
              <w:t xml:space="preserve">Двухместный стандартный номер  с вентилятором </w:t>
            </w:r>
          </w:p>
        </w:tc>
        <w:tc>
          <w:tcPr>
            <w:tcW w:type="dxa" w:w="325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Телевизор, холодильник, сан.узел с душем, вентилятор</w:t>
            </w:r>
          </w:p>
        </w:tc>
        <w:tc>
          <w:tcPr>
            <w:tcW w:type="dxa" w:w="12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hRule="atLeast" w:val="386"/>
          <w:cantSplit w:val="true"/>
        </w:trPr>
        <w:tc>
          <w:tcPr>
            <w:tcW w:type="dxa" w:w="453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rFonts w:ascii="Times New Roman" w:hAnsi="Times New Roman"/>
                <w:sz w:val="24"/>
              </w:rPr>
              <w:t xml:space="preserve">Двухместный номер повышенной комфортности </w:t>
            </w:r>
          </w:p>
        </w:tc>
        <w:tc>
          <w:tcPr>
            <w:tcW w:type="dxa" w:w="325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Телевизор, холодильник, сан.узел с душем, кондиционер</w:t>
            </w:r>
          </w:p>
        </w:tc>
        <w:tc>
          <w:tcPr>
            <w:tcW w:type="dxa" w:w="12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hRule="atLeast" w:val="386"/>
          <w:cantSplit w:val="true"/>
        </w:trPr>
        <w:tc>
          <w:tcPr>
            <w:tcW w:type="dxa" w:w="453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rFonts w:ascii="Times New Roman" w:hAnsi="Times New Roman"/>
                <w:sz w:val="24"/>
              </w:rPr>
              <w:t>Двухместный стандартный номер  с кондиционером</w:t>
            </w:r>
          </w:p>
          <w:p>
            <w:pPr>
              <w:pStyle w:val="style21"/>
            </w:pPr>
            <w:r>
              <w:rPr/>
            </w:r>
          </w:p>
        </w:tc>
        <w:tc>
          <w:tcPr>
            <w:tcW w:type="dxa" w:w="325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Телевизор, холодильник, сан.узел с душем, кондиционер</w:t>
            </w:r>
          </w:p>
        </w:tc>
        <w:tc>
          <w:tcPr>
            <w:tcW w:type="dxa" w:w="12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>
      <w:pPr>
        <w:pStyle w:val="style0"/>
        <w:ind w:hanging="0" w:left="360" w:right="0"/>
        <w:jc w:val="both"/>
      </w:pPr>
      <w:r>
        <w:rPr/>
      </w:r>
    </w:p>
    <w:p>
      <w:pPr>
        <w:pStyle w:val="style22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Услуги в гостинице «ВатерЛоо» оказываются в соответствии с требованиями стандартов: ГОСТ Р 50644-94,ГОСТ Р  50645-94, ГОСТ Р 12.1036-81. Соответствие оказываемых услуг подтверждается сертификатом соответствия на услуги гостиниц № РОСС 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 xml:space="preserve"> КУ03.М02089 </w:t>
      </w:r>
      <w:bookmarkStart w:id="0" w:name="_GoBack"/>
      <w:r>
        <w:rPr>
          <w:rFonts w:ascii="Times New Roman" w:hAnsi="Times New Roman"/>
          <w:sz w:val="24"/>
          <w:szCs w:val="24"/>
        </w:rPr>
        <w:t>от 31.07.2012 года и Свидетельством о присвоении категории № КЭ 0452 от 08.07.2013 года.</w:t>
      </w:r>
    </w:p>
    <w:p>
      <w:pPr>
        <w:pStyle w:val="style22"/>
        <w:numPr>
          <w:ilvl w:val="0"/>
          <w:numId w:val="1"/>
        </w:numPr>
        <w:spacing w:after="0" w:before="0" w:line="100" w:lineRule="atLeast"/>
        <w:jc w:val="both"/>
      </w:pPr>
      <w:bookmarkEnd w:id="0"/>
      <w:r>
        <w:rPr>
          <w:rFonts w:ascii="Times New Roman" w:hAnsi="Times New Roman"/>
          <w:sz w:val="24"/>
          <w:szCs w:val="24"/>
        </w:rPr>
        <w:t>Квота номеров предоставляется на условиях «мягкого блока», технология работы описана в п.</w:t>
      </w:r>
      <w:r>
        <w:rPr>
          <w:rFonts w:ascii="Times New Roman" w:hAnsi="Times New Roman"/>
          <w:color w:val="C00000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договора.</w:t>
      </w:r>
    </w:p>
    <w:p>
      <w:pPr>
        <w:pStyle w:val="style22"/>
        <w:numPr>
          <w:ilvl w:val="0"/>
          <w:numId w:val="1"/>
        </w:numPr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  <w:t>В остальном стороны руководствуются Договором.</w:t>
      </w:r>
    </w:p>
    <w:p>
      <w:pPr>
        <w:pStyle w:val="style0"/>
        <w:ind w:hanging="0" w:left="360" w:right="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Times New Roman" w:hAnsi="Times New Roman"/>
          <w:sz w:val="24"/>
          <w:szCs w:val="24"/>
        </w:rPr>
        <w:tab/>
      </w:r>
    </w:p>
    <w:tbl>
      <w:tblPr>
        <w:jc w:val="left"/>
        <w:tblInd w:type="dxa" w:w="-432"/>
        <w:tblBorders/>
      </w:tblPr>
      <w:tblGrid>
        <w:gridCol w:w="4640"/>
        <w:gridCol w:w="426"/>
        <w:gridCol w:w="5242"/>
      </w:tblGrid>
      <w:tr>
        <w:trPr>
          <w:cantSplit w:val="false"/>
        </w:trPr>
        <w:tc>
          <w:tcPr>
            <w:tcW w:type="dxa" w:w="464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АГЕНТ: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ООО «БГ Европа»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___________________ Киселев Ю.В.</w:t>
            </w:r>
          </w:p>
        </w:tc>
        <w:tc>
          <w:tcPr>
            <w:tcW w:type="dxa" w:w="42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  <w:tc>
          <w:tcPr>
            <w:tcW w:type="dxa" w:w="5242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ПРИНЦИПАЛ: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________________ Дудашвили О.М.</w:t>
            </w:r>
          </w:p>
        </w:tc>
      </w:tr>
    </w:tbl>
    <w:p>
      <w:pPr>
        <w:pStyle w:val="style0"/>
        <w:spacing w:after="200" w:before="0"/>
      </w:pPr>
      <w:r>
        <w:rPr/>
      </w:r>
    </w:p>
    <w:sectPr>
      <w:type w:val="nextPage"/>
      <w:pgSz w:h="16838" w:w="11906"/>
      <w:pgMar w:bottom="360" w:footer="0" w:gutter="0" w:header="0" w:left="900" w:right="680" w:top="540"/>
      <w:pgNumType w:fmt="decimal"/>
      <w:formProt w:val="false"/>
      <w:textDirection w:val="lrTb"/>
      <w:docGrid w:charSpace="16384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Times New Roman" w:eastAsia="Calibri" w:hAnsi="Calibri"/>
      <w:color w:val="00000A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</w:pPr>
    <w:rPr>
      <w:rFonts w:ascii="Arial" w:cs="Lohit Hindi" w:eastAsia="Droid Sans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</w:pPr>
    <w:rPr/>
  </w:style>
  <w:style w:styleId="style18" w:type="paragraph">
    <w:name w:val="Список"/>
    <w:basedOn w:val="style17"/>
    <w:next w:val="style18"/>
    <w:pPr/>
    <w:rPr>
      <w:rFonts w:cs="Lohit Hindi"/>
    </w:rPr>
  </w:style>
  <w:style w:styleId="style19" w:type="paragraph">
    <w:name w:val="Название"/>
    <w:basedOn w:val="style0"/>
    <w:next w:val="style19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Lohit Hindi"/>
    </w:rPr>
  </w:style>
  <w:style w:styleId="style21" w:type="paragraph">
    <w:name w:val="Содержимое таблицы"/>
    <w:basedOn w:val="style0"/>
    <w:next w:val="style21"/>
    <w:pPr>
      <w:widowControl w:val="false"/>
      <w:suppressLineNumbers/>
      <w:suppressAutoHyphens w:val="true"/>
      <w:spacing w:after="0" w:before="0" w:line="100" w:lineRule="atLeast"/>
    </w:pPr>
    <w:rPr>
      <w:rFonts w:ascii="Arial" w:eastAsia="Arial Unicode MS" w:hAnsi="Arial"/>
      <w:sz w:val="20"/>
      <w:szCs w:val="24"/>
    </w:rPr>
  </w:style>
  <w:style w:styleId="style22" w:type="paragraph">
    <w:name w:val="List Paragraph"/>
    <w:basedOn w:val="style0"/>
    <w:next w:val="style22"/>
    <w:pPr>
      <w:ind w:hanging="0" w:left="720" w:right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2013-12-23T06:42:00.00Z</dcterms:created>
  <dc:creator>User</dc:creator>
  <cp:lastModifiedBy>User</cp:lastModifiedBy>
  <cp:lastPrinted>2014-02-27T10:27:58.00Z</cp:lastPrinted>
  <dcterms:modified xsi:type="dcterms:W3CDTF">2013-12-23T09:33:00.00Z</dcterms:modified>
  <cp:revision>3</cp:revision>
</cp:coreProperties>
</file>