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551"/>
        <w:gridCol w:w="2559"/>
        <w:gridCol w:w="2268"/>
        <w:gridCol w:w="2410"/>
      </w:tblGrid>
      <w:tr>
        <w:trPr>
          <w:trHeight w:hRule="atLeast" w:val="1168"/>
          <w:cantSplit w:val="false"/>
        </w:trPr>
        <w:tc>
          <w:tcPr>
            <w:tcW w:type="dxa" w:w="255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both"/>
            </w:pPr>
            <w:r>
              <w:rPr>
                <w:rFonts w:ascii="Arial" w:cs="Arial" w:hAnsi="Arial"/>
                <w:b/>
                <w:sz w:val="18"/>
                <w:szCs w:val="18"/>
              </w:rPr>
              <w:t>Категория номера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01.01.2015-08.06.2015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25.09.2015-30.12.2015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Тип питания – полный пансион (завтрак, обед, ужин)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08.06.2015-01.07.2015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08.09.2015-25.09.2015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Тип питания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3-х разовое 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Завтрак – шв. стол обед / ужин по типу «заказное меню» с элементами шв. стола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01.07.2015-08.09.2015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Тип питания 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3-х разовое 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Завтрак – шв. стол обед / ужин по типу «заказное меню» с элементами шв. стола</w:t>
            </w:r>
          </w:p>
        </w:tc>
      </w:tr>
      <w:tr>
        <w:trPr>
          <w:trHeight w:hRule="atLeast" w:val="638"/>
          <w:cantSplit w:val="false"/>
        </w:trPr>
        <w:tc>
          <w:tcPr>
            <w:tcW w:type="dxa" w:w="255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Одно - /               Двухместное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размещение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Одно - /               Двухместное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размещение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Одно - /               Двухместное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размещение</w:t>
            </w:r>
          </w:p>
        </w:tc>
      </w:tr>
      <w:tr>
        <w:trPr>
          <w:trHeight w:hRule="atLeast" w:val="325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Стандарт без балкона корп. А, Б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3300/4000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4150/4850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5900/6600</w:t>
            </w:r>
          </w:p>
        </w:tc>
      </w:tr>
      <w:tr>
        <w:trPr>
          <w:trHeight w:hRule="atLeast" w:val="332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Стандарт с балконом корп. А, Б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3500/4200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4500/5200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6600/7300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Студия с балконом/без балкона корп. А</w:t>
            </w:r>
            <w:r>
              <w:rPr>
                <w:rFonts w:ascii="Arial" w:cs="Arial" w:hAnsi="Arial"/>
                <w:b/>
                <w:sz w:val="18"/>
                <w:szCs w:val="18"/>
                <w:lang w:val="en-US"/>
              </w:rPr>
              <w:t>,</w:t>
            </w:r>
            <w:r>
              <w:rPr>
                <w:rFonts w:ascii="Arial" w:cs="Arial" w:hAnsi="Arial"/>
                <w:b/>
                <w:sz w:val="18"/>
                <w:szCs w:val="18"/>
              </w:rPr>
              <w:t xml:space="preserve"> Б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3800/48</w:t>
            </w:r>
            <w:bookmarkStart w:id="0" w:name="_GoBack"/>
            <w:bookmarkEnd w:id="0"/>
            <w:r>
              <w:rPr>
                <w:rFonts w:ascii="Arial" w:cs="Arial" w:hAnsi="Arial"/>
                <w:b/>
                <w:sz w:val="18"/>
                <w:szCs w:val="18"/>
              </w:rPr>
              <w:t>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4800/5500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7000/7700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Люкс двухкомнатный корп. А, Б 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5300/6000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6800/7500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9300/10000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Люкс-престиж корп.  Б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5800/6500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7700/8400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10800/11500</w:t>
            </w:r>
          </w:p>
        </w:tc>
      </w:tr>
      <w:tr>
        <w:trPr>
          <w:trHeight w:hRule="atLeast" w:val="288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Люкс-премиум корп.  Б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6300/7000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8300/9000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11100/11800</w:t>
            </w:r>
          </w:p>
        </w:tc>
      </w:tr>
      <w:tr>
        <w:trPr>
          <w:trHeight w:hRule="atLeast" w:val="380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Сьют семейный  (3-комнатный) без балкона корп. А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8700/9000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11100/11800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12300/13000</w:t>
            </w:r>
          </w:p>
        </w:tc>
      </w:tr>
      <w:tr>
        <w:trPr>
          <w:trHeight w:hRule="atLeast" w:val="510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Студия с балконом  корп. «Морской бриз»</w:t>
            </w:r>
          </w:p>
          <w:p>
            <w:pPr>
              <w:pStyle w:val="style0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5000/5700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5600/6300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7000/7700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Студия без балкона  корп. «Морской бриз» 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4300/5000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4800/5500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6300/7000</w:t>
            </w:r>
          </w:p>
        </w:tc>
      </w:tr>
      <w:tr>
        <w:trPr>
          <w:trHeight w:hRule="atLeast" w:val="412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Люкс однокомнатный  корп. «Морской бриз»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6800/7500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7600/8300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7500/9500</w:t>
            </w:r>
          </w:p>
        </w:tc>
      </w:tr>
      <w:tr>
        <w:trPr>
          <w:trHeight w:hRule="atLeast" w:val="418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Люкс двухкомнатный без балкона корп. «Морской бриз»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8300/9000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10300/11000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11000/13000</w:t>
            </w:r>
          </w:p>
        </w:tc>
      </w:tr>
      <w:tr>
        <w:trPr>
          <w:trHeight w:hRule="atLeast" w:val="293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Дополнительное место 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от 5  до 10 лет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1700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1700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1700</w:t>
            </w:r>
          </w:p>
        </w:tc>
      </w:tr>
      <w:tr>
        <w:trPr>
          <w:trHeight w:hRule="atLeast" w:val="415"/>
          <w:cantSplit w:val="false"/>
        </w:trPr>
        <w:tc>
          <w:tcPr>
            <w:tcW w:type="dxa" w:w="25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Дополнительное место 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от 10 лет и старше</w:t>
            </w:r>
          </w:p>
        </w:tc>
        <w:tc>
          <w:tcPr>
            <w:tcW w:type="dxa" w:w="25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1800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2200</w:t>
            </w:r>
          </w:p>
        </w:tc>
        <w:tc>
          <w:tcPr>
            <w:tcW w:type="dxa" w:w="24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sz w:val="18"/>
                <w:szCs w:val="18"/>
              </w:rPr>
              <w:t>2200</w:t>
            </w:r>
          </w:p>
        </w:tc>
      </w:tr>
    </w:tbl>
    <w:p>
      <w:pPr>
        <w:pStyle w:val="style0"/>
      </w:pPr>
      <w:r>
        <w:rPr>
          <w:rFonts w:ascii="Arial" w:cs="Arial" w:hAnsi="Arial"/>
          <w:b/>
          <w:color w:val="FF0000"/>
          <w:sz w:val="22"/>
          <w:szCs w:val="22"/>
          <w:u w:val="single"/>
        </w:rPr>
      </w:r>
    </w:p>
    <w:p>
      <w:pPr>
        <w:pStyle w:val="style0"/>
      </w:pPr>
      <w:r>
        <w:rPr>
          <w:rFonts w:ascii="Arial" w:cs="Arial" w:hAnsi="Arial"/>
          <w:b/>
          <w:color w:val="FF0000"/>
          <w:sz w:val="22"/>
          <w:szCs w:val="22"/>
          <w:u w:val="single"/>
        </w:rPr>
        <w:t>Перечень услуг входящих в стоимость проживания:</w:t>
      </w:r>
    </w:p>
    <w:p>
      <w:pPr>
        <w:pStyle w:val="style27"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 xml:space="preserve">Питание, согласно периоду проживания. В период с 01.01.2015 по 08.06.2015,  </w:t>
      </w:r>
      <w:r>
        <w:rPr>
          <w:rFonts w:ascii="Arial" w:cs="Arial" w:hAnsi="Arial"/>
          <w:b/>
          <w:sz w:val="18"/>
          <w:szCs w:val="18"/>
          <w:lang w:val="en-US"/>
        </w:rPr>
        <w:t>c</w:t>
      </w:r>
      <w:r>
        <w:rPr>
          <w:rFonts w:ascii="Arial" w:cs="Arial" w:hAnsi="Arial"/>
          <w:b/>
          <w:sz w:val="18"/>
          <w:szCs w:val="18"/>
        </w:rPr>
        <w:t xml:space="preserve"> 25.09.2015-30.12.2015  питание не включает систему «шведский стол»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проживание в номере выбранной категории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в летний период (с 08.06.2015 по 08.09.2015): анимационные мероприятия, детская анимация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открытый бассейн (в период его работы)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тренажерный зал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пляжный комплекс: шезлонги, зонты, пляжные полотенца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комплекс услуг для детей: игровая площадка, детский клуб, детская анимация (в период летних месяцев), прокат детских машин, велосипеды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охраняемая парковка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услуга «будильник»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 xml:space="preserve">услуга беспроводного интернета - </w:t>
      </w:r>
      <w:r>
        <w:rPr>
          <w:rFonts w:ascii="Arial" w:cs="Arial" w:hAnsi="Arial"/>
          <w:b/>
          <w:sz w:val="18"/>
          <w:szCs w:val="18"/>
          <w:lang w:val="en-US"/>
        </w:rPr>
        <w:t>Wi</w:t>
      </w:r>
      <w:r>
        <w:rPr>
          <w:rFonts w:ascii="Arial" w:cs="Arial" w:hAnsi="Arial"/>
          <w:b/>
          <w:sz w:val="18"/>
          <w:szCs w:val="18"/>
        </w:rPr>
        <w:t>-</w:t>
      </w:r>
      <w:r>
        <w:rPr>
          <w:rFonts w:ascii="Arial" w:cs="Arial" w:hAnsi="Arial"/>
          <w:b/>
          <w:sz w:val="18"/>
          <w:szCs w:val="18"/>
          <w:lang w:val="en-US"/>
        </w:rPr>
        <w:t>Fi</w:t>
      </w:r>
      <w:r>
        <w:rPr>
          <w:rFonts w:ascii="Arial" w:cs="Arial" w:hAnsi="Arial"/>
          <w:b/>
          <w:sz w:val="18"/>
          <w:szCs w:val="18"/>
        </w:rPr>
        <w:t xml:space="preserve"> (в зоне конференц-зала, </w:t>
      </w:r>
      <w:r>
        <w:rPr>
          <w:rFonts w:ascii="Arial" w:cs="Arial" w:hAnsi="Arial"/>
          <w:b/>
          <w:sz w:val="18"/>
          <w:szCs w:val="18"/>
          <w:lang w:val="en-US"/>
        </w:rPr>
        <w:t>Reseption</w:t>
      </w:r>
      <w:r>
        <w:rPr>
          <w:rFonts w:ascii="Arial" w:cs="Arial" w:hAnsi="Arial"/>
          <w:b/>
          <w:sz w:val="18"/>
          <w:szCs w:val="18"/>
        </w:rPr>
        <w:t>)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color w:val="FF0000"/>
          <w:sz w:val="18"/>
          <w:szCs w:val="18"/>
          <w:u w:val="single"/>
        </w:rPr>
        <w:t>Примечание:</w:t>
      </w:r>
      <w:r>
        <w:rPr>
          <w:rFonts w:ascii="Arial" w:cs="Arial" w:hAnsi="Arial"/>
          <w:b/>
          <w:color w:val="FF0000"/>
          <w:sz w:val="18"/>
          <w:szCs w:val="18"/>
        </w:rPr>
        <w:t xml:space="preserve"> Дети до 5   лет размещаются – БЕСПЛАТНО с предоставлением питания (предусмотрено детское меню)</w:t>
      </w:r>
    </w:p>
    <w:p>
      <w:pPr>
        <w:pStyle w:val="style0"/>
        <w:widowControl/>
        <w:numPr>
          <w:ilvl w:val="0"/>
          <w:numId w:val="1"/>
        </w:numPr>
        <w:tabs>
          <w:tab w:leader="none" w:pos="720" w:val="left"/>
        </w:tabs>
        <w:ind w:hanging="0" w:left="360" w:right="0"/>
      </w:pPr>
      <w:r>
        <w:rPr>
          <w:rFonts w:ascii="Arial" w:cs="Arial" w:hAnsi="Arial"/>
          <w:b/>
          <w:sz w:val="18"/>
          <w:szCs w:val="18"/>
        </w:rPr>
        <w:t>детям до 3-х лет возможно предоставление детской кроватки и детской прогулочной коляски</w:t>
      </w:r>
    </w:p>
    <w:p>
      <w:pPr>
        <w:pStyle w:val="style0"/>
        <w:widowControl/>
        <w:jc w:val="both"/>
      </w:pPr>
      <w:r>
        <w:rPr>
          <w:rFonts w:ascii="Arial" w:cs="Arial" w:hAnsi="Arial"/>
          <w:color w:val="FF0000"/>
          <w:sz w:val="18"/>
          <w:szCs w:val="18"/>
          <w:u w:val="single"/>
        </w:rPr>
      </w:r>
    </w:p>
    <w:p>
      <w:pPr>
        <w:pStyle w:val="style0"/>
      </w:pPr>
      <w:r>
        <w:rPr/>
      </w:r>
    </w:p>
    <w:sectPr>
      <w:headerReference r:id="rId2" w:type="default"/>
      <w:type w:val="nextPage"/>
      <w:pgSz w:h="16838" w:w="11906"/>
      <w:pgMar w:bottom="1134" w:footer="0" w:gutter="0" w:header="284" w:left="702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right"/>
    </w:pPr>
    <w:r>
      <w:rPr>
        <w:b/>
        <w:sz w:val="22"/>
        <w:szCs w:val="22"/>
      </w:rPr>
      <w:t xml:space="preserve">Цены на размещение в пансионате «Виктория-Отдых» в 2015 г. (в сутки за номер, в рублях)                        </w:t>
    </w:r>
    <w:r>
      <w:rPr>
        <w:b/>
        <w:sz w:val="16"/>
        <w:szCs w:val="16"/>
      </w:rPr>
      <w:t>Утверждаю Директор ООО «Виктория-Отдых» пансионат» Цоцория Л.П</w:t>
    </w:r>
    <w:r>
      <w:rPr>
        <w:b/>
        <w:sz w:val="22"/>
        <w:szCs w:val="22"/>
      </w:rPr>
      <w:t>. _____________</w:t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pos="3600" w:val="num"/>
        </w:tabs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pos="5760" w:val="num"/>
        </w:tabs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character">
    <w:name w:val="ListLabel 1"/>
    <w:next w:val="style18"/>
    <w:rPr>
      <w:color w:val="00000A"/>
    </w:rPr>
  </w:style>
  <w:style w:styleId="style19" w:type="character">
    <w:name w:val="ListLabel 2"/>
    <w:next w:val="style19"/>
    <w:rPr>
      <w:rFonts w:cs="Courier New"/>
    </w:rPr>
  </w:style>
  <w:style w:styleId="style20" w:type="paragraph">
    <w:name w:val="Заголовок"/>
    <w:basedOn w:val="style0"/>
    <w:next w:val="style21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</w:pPr>
    <w:rPr/>
  </w:style>
  <w:style w:styleId="style22" w:type="paragraph">
    <w:name w:val="Список"/>
    <w:basedOn w:val="style21"/>
    <w:next w:val="style22"/>
    <w:pPr/>
    <w:rPr>
      <w:rFonts w:cs="Lohit Hindi"/>
    </w:rPr>
  </w:style>
  <w:style w:styleId="style23" w:type="paragraph">
    <w:name w:val="Название"/>
    <w:basedOn w:val="style0"/>
    <w:next w:val="style23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Lohit Hindi"/>
    </w:rPr>
  </w:style>
  <w:style w:styleId="style25" w:type="paragraph">
    <w:name w:val="Верхний колонтитул"/>
    <w:basedOn w:val="style0"/>
    <w:next w:val="style25"/>
    <w:pPr>
      <w:suppressLineNumbers/>
      <w:tabs>
        <w:tab w:leader="none" w:pos="4513" w:val="center"/>
        <w:tab w:leader="none" w:pos="9026" w:val="right"/>
      </w:tabs>
    </w:pPr>
    <w:rPr/>
  </w:style>
  <w:style w:styleId="style26" w:type="paragraph">
    <w:name w:val="Нижний колонтитул"/>
    <w:basedOn w:val="style0"/>
    <w:next w:val="style26"/>
    <w:pPr>
      <w:suppressLineNumbers/>
      <w:tabs>
        <w:tab w:leader="none" w:pos="4513" w:val="center"/>
        <w:tab w:leader="none" w:pos="9026" w:val="right"/>
      </w:tabs>
    </w:pPr>
    <w:rPr/>
  </w:style>
  <w:style w:styleId="style27" w:type="paragraph">
    <w:name w:val="List Paragraph"/>
    <w:basedOn w:val="style0"/>
    <w:next w:val="style27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2013-10-10T08:29:00.00Z</dcterms:created>
  <dc:creator>User</dc:creator>
  <cp:lastModifiedBy>User</cp:lastModifiedBy>
  <cp:lastPrinted>2014-12-10T10:43:00.00Z</cp:lastPrinted>
  <dcterms:modified xsi:type="dcterms:W3CDTF">2015-03-02T13:45:00.00Z</dcterms:modified>
  <cp:revision>38</cp:revision>
</cp:coreProperties>
</file>