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Calibri" w:cs="Tahoma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jc w:val="right"/>
      </w:pPr>
      <w:r>
        <w:rPr>
          <w:rFonts w:ascii="Calibri" w:cs="Tahoma" w:hAnsi="Calibri"/>
          <w:szCs w:val="28"/>
        </w:rPr>
        <w:t xml:space="preserve">354207, г. Сочи, п. Дагомыс, </w:t>
      </w:r>
    </w:p>
    <w:p>
      <w:pPr>
        <w:pStyle w:val="style0"/>
        <w:jc w:val="right"/>
      </w:pPr>
      <w:r>
        <w:rPr>
          <w:rFonts w:ascii="Calibri" w:cs="Tahoma" w:hAnsi="Calibri"/>
          <w:szCs w:val="28"/>
        </w:rPr>
        <w:t xml:space="preserve">ул. Летняя, 56 </w:t>
      </w:r>
    </w:p>
    <w:p>
      <w:pPr>
        <w:pStyle w:val="style0"/>
        <w:jc w:val="center"/>
      </w:pPr>
      <w:r>
        <w:rPr>
          <w:rFonts w:ascii="Calibri" w:cs="Tahoma" w:hAnsi="Calibri"/>
          <w:b/>
          <w:sz w:val="40"/>
          <w:szCs w:val="40"/>
        </w:rPr>
        <w:t>Отель « Генрих »</w:t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3"/>
          <w:szCs w:val="23"/>
        </w:rPr>
        <w:t>Прейскурант на проживание</w:t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  <w:t>Цены действуют с 31.12.2014 по 31.12.2015</w:t>
      </w:r>
    </w:p>
    <w:p>
      <w:pPr>
        <w:pStyle w:val="style0"/>
        <w:jc w:val="center"/>
      </w:pPr>
      <w:r>
        <w:rPr>
          <w:rFonts w:ascii="Tahoma" w:cs="Tahoma" w:hAnsi="Tahoma"/>
          <w:b/>
          <w:bCs/>
          <w:sz w:val="10"/>
          <w:szCs w:val="10"/>
        </w:rPr>
      </w:r>
    </w:p>
    <w:p>
      <w:pPr>
        <w:pStyle w:val="style0"/>
      </w:pPr>
      <w:r>
        <w:rPr>
          <w:rFonts w:ascii="Tahoma" w:cs="Tahoma" w:hAnsi="Tahoma"/>
          <w:b/>
          <w:sz w:val="20"/>
          <w:szCs w:val="20"/>
        </w:rPr>
        <w:t>Стоимость за человека в сутки, руб.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right w:color="00000A" w:space="0" w:sz="4" w:val="single"/>
        </w:tblBorders>
      </w:tblPr>
      <w:tblGrid>
        <w:gridCol w:w="2572"/>
        <w:gridCol w:w="654"/>
        <w:gridCol w:w="1276"/>
        <w:gridCol w:w="988"/>
        <w:gridCol w:w="852"/>
        <w:gridCol w:w="849"/>
        <w:gridCol w:w="850"/>
        <w:gridCol w:w="851"/>
        <w:gridCol w:w="850"/>
        <w:gridCol w:w="851"/>
        <w:gridCol w:w="854"/>
      </w:tblGrid>
      <w:tr>
        <w:trPr>
          <w:trHeight w:hRule="atLeast" w:val="471"/>
          <w:cantSplit w:val="false"/>
        </w:trPr>
        <w:tc>
          <w:tcPr>
            <w:tcW w:type="dxa" w:w="257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1440" w:val="left"/>
                <w:tab w:leader="none" w:pos="1755" w:val="left"/>
              </w:tabs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type="dxa" w:w="6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6"/>
                <w:szCs w:val="16"/>
                <w:lang w:eastAsia="ru-RU"/>
              </w:rPr>
              <w:t>Корп</w:t>
            </w:r>
          </w:p>
        </w:tc>
        <w:tc>
          <w:tcPr>
            <w:tcW w:type="dxa" w:w="1276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type="dxa" w:w="98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Разме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-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type="dxa" w:w="85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 xml:space="preserve">1.12 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01.01</w:t>
            </w:r>
          </w:p>
        </w:tc>
        <w:tc>
          <w:tcPr>
            <w:tcW w:type="dxa" w:w="849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01.01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type="dxa" w:w="850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11.01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31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.0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5</w:t>
            </w:r>
          </w:p>
        </w:tc>
        <w:tc>
          <w:tcPr>
            <w:tcW w:type="dxa" w:w="851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01.06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11.06</w:t>
            </w:r>
          </w:p>
        </w:tc>
        <w:tc>
          <w:tcPr>
            <w:tcW w:type="dxa" w:w="850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12.06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14.09</w:t>
            </w:r>
          </w:p>
        </w:tc>
        <w:tc>
          <w:tcPr>
            <w:tcW w:type="dxa" w:w="85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15.09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30.09</w:t>
            </w:r>
          </w:p>
        </w:tc>
        <w:tc>
          <w:tcPr>
            <w:tcW w:type="dxa" w:w="85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01.10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30.12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осн</w:t>
            </w:r>
          </w:p>
        </w:tc>
        <w:tc>
          <w:tcPr>
            <w:tcW w:type="dxa" w:w="7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доп.</w:t>
            </w:r>
          </w:p>
        </w:tc>
        <w:tc>
          <w:tcPr>
            <w:tcW w:type="dxa" w:w="98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85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849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850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85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shd w:fill="FFFF00" w:val="clear"/>
                <w:lang w:eastAsia="ru-RU"/>
              </w:rPr>
            </w:r>
          </w:p>
        </w:tc>
        <w:tc>
          <w:tcPr>
            <w:tcW w:type="dxa" w:w="85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shd w:fill="FFFF00" w:val="clear"/>
                <w:lang w:eastAsia="ru-RU"/>
              </w:rPr>
            </w:r>
          </w:p>
        </w:tc>
        <w:tc>
          <w:tcPr>
            <w:tcW w:type="dxa" w:w="85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shd w:fill="FFFF00" w:val="clear"/>
                <w:lang w:eastAsia="ru-RU"/>
              </w:rPr>
            </w:r>
          </w:p>
        </w:tc>
        <w:tc>
          <w:tcPr>
            <w:tcW w:type="dxa" w:w="8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shd w:fill="FFFF00" w:val="clear"/>
                <w:lang w:eastAsia="ru-RU"/>
              </w:rPr>
            </w:r>
          </w:p>
        </w:tc>
      </w:tr>
      <w:tr>
        <w:trPr>
          <w:trHeight w:hRule="atLeast" w:val="438"/>
          <w:cantSplit w:val="false"/>
        </w:trPr>
        <w:tc>
          <w:tcPr>
            <w:tcW w:type="dxa" w:w="257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2-х местный</w:t>
            </w:r>
          </w:p>
        </w:tc>
        <w:tc>
          <w:tcPr>
            <w:tcW w:type="dxa" w:w="6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566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 xml:space="preserve">1 чел 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3000</w:t>
            </w:r>
          </w:p>
        </w:tc>
        <w:tc>
          <w:tcPr>
            <w:tcW w:type="dxa" w:w="849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1950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1650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2300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3600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3000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1650</w:t>
            </w:r>
          </w:p>
        </w:tc>
      </w:tr>
      <w:tr>
        <w:trPr>
          <w:trHeight w:hRule="atLeast" w:val="414"/>
          <w:cantSplit w:val="false"/>
        </w:trPr>
        <w:tc>
          <w:tcPr>
            <w:tcW w:type="dxa" w:w="257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654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66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0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2 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4000</w:t>
            </w:r>
          </w:p>
        </w:tc>
        <w:tc>
          <w:tcPr>
            <w:tcW w:type="dxa" w:w="849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2600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2200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3100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4800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4000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2200</w:t>
            </w:r>
          </w:p>
        </w:tc>
      </w:tr>
      <w:tr>
        <w:trPr>
          <w:trHeight w:hRule="atLeast" w:val="554"/>
          <w:cantSplit w:val="false"/>
        </w:trPr>
        <w:tc>
          <w:tcPr>
            <w:tcW w:type="dxa" w:w="25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 xml:space="preserve">Стандарт семейный </w:t>
            </w:r>
          </w:p>
        </w:tc>
        <w:tc>
          <w:tcPr>
            <w:tcW w:type="dxa" w:w="654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66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71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3 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5400</w:t>
            </w:r>
          </w:p>
        </w:tc>
        <w:tc>
          <w:tcPr>
            <w:tcW w:type="dxa" w:w="849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3300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3000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4200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6300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5400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3000</w:t>
            </w:r>
          </w:p>
        </w:tc>
      </w:tr>
      <w:tr>
        <w:trPr>
          <w:trHeight w:hRule="atLeast" w:val="651"/>
          <w:cantSplit w:val="false"/>
        </w:trPr>
        <w:tc>
          <w:tcPr>
            <w:tcW w:type="dxa" w:w="257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семейный плюс</w:t>
            </w:r>
          </w:p>
        </w:tc>
        <w:tc>
          <w:tcPr>
            <w:tcW w:type="dxa" w:w="654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66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71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4 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6400</w:t>
            </w:r>
          </w:p>
        </w:tc>
        <w:tc>
          <w:tcPr>
            <w:tcW w:type="dxa" w:w="849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4300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3600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5000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7750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6400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</w:t>
            </w:r>
          </w:p>
        </w:tc>
        <w:tc>
          <w:tcPr>
            <w:tcW w:type="dxa" w:w="6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566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 xml:space="preserve">1 чел 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3200</w:t>
            </w:r>
          </w:p>
        </w:tc>
        <w:tc>
          <w:tcPr>
            <w:tcW w:type="dxa" w:w="849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2200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2500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3900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3300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654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66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4300</w:t>
            </w:r>
          </w:p>
        </w:tc>
        <w:tc>
          <w:tcPr>
            <w:tcW w:type="dxa" w:w="849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2900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2400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3350</w:t>
            </w:r>
          </w:p>
        </w:tc>
        <w:tc>
          <w:tcPr>
            <w:tcW w:type="dxa" w:w="85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5200</w:t>
            </w:r>
          </w:p>
        </w:tc>
        <w:tc>
          <w:tcPr>
            <w:tcW w:type="dxa" w:w="85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4400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2400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 романтик</w:t>
            </w:r>
          </w:p>
        </w:tc>
        <w:tc>
          <w:tcPr>
            <w:tcW w:type="dxa" w:w="6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66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1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 xml:space="preserve">чел 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3500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2300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1950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2700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4200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3500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1950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6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66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4700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3100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2600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3600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5600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4700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2-комн.</w:t>
            </w:r>
          </w:p>
        </w:tc>
        <w:tc>
          <w:tcPr>
            <w:tcW w:type="dxa" w:w="6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66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1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 xml:space="preserve">чел 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3750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2500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2100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2900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4500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3800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6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66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5000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3350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2800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3900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6000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5100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2800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кухней</w:t>
            </w:r>
          </w:p>
        </w:tc>
        <w:tc>
          <w:tcPr>
            <w:tcW w:type="dxa" w:w="6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566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1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 xml:space="preserve">чел 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4200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2850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2400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3400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5200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4400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2400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6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66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5700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3800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3200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4500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7000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5900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3200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сауной           и  джакузи</w:t>
            </w:r>
          </w:p>
        </w:tc>
        <w:tc>
          <w:tcPr>
            <w:tcW w:type="dxa" w:w="654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66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1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 xml:space="preserve">чел 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5400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3600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3000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4200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6500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5550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3000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7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654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66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 xml:space="preserve"> </w:t>
            </w: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7200</w:t>
            </w:r>
          </w:p>
        </w:tc>
        <w:tc>
          <w:tcPr>
            <w:tcW w:type="dxa" w:w="84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4800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4000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5600</w:t>
            </w:r>
          </w:p>
        </w:tc>
        <w:tc>
          <w:tcPr>
            <w:tcW w:type="dxa" w:w="85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8700</w:t>
            </w:r>
          </w:p>
        </w:tc>
        <w:tc>
          <w:tcPr>
            <w:tcW w:type="dxa" w:w="85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7400</w:t>
            </w:r>
          </w:p>
        </w:tc>
        <w:tc>
          <w:tcPr>
            <w:tcW w:type="dxa" w:w="8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4000</w:t>
            </w:r>
          </w:p>
        </w:tc>
      </w:tr>
    </w:tbl>
    <w:p>
      <w:pPr>
        <w:pStyle w:val="style0"/>
      </w:pPr>
      <w:r>
        <w:rPr>
          <w:rFonts w:ascii="Tahoma" w:cs="Tahoma" w:hAnsi="Tahoma"/>
          <w:b/>
          <w:iCs/>
          <w:sz w:val="18"/>
          <w:szCs w:val="18"/>
        </w:rPr>
      </w:r>
    </w:p>
    <w:p>
      <w:pPr>
        <w:pStyle w:val="style0"/>
        <w:numPr>
          <w:ilvl w:val="0"/>
          <w:numId w:val="1"/>
        </w:numPr>
        <w:ind w:firstLine="1247" w:left="-113" w:right="0"/>
      </w:pPr>
      <w:r>
        <w:rPr>
          <w:rFonts w:ascii="Tahoma" w:cs="Tahoma" w:hAnsi="Tahoma"/>
          <w:b/>
          <w:iCs/>
          <w:sz w:val="18"/>
          <w:szCs w:val="18"/>
        </w:rPr>
        <w:t xml:space="preserve">Для детей до 4 лет без предоставления места размещение и питание бесплатно весь сезон! 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на основном месте предоставляется скидка 20% от цены размещения на основном месте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взрослого на доп. месте предоставляется скидка 30% от цены размещения на основном месте.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 на дополнительном месте предоставляется скидка 50% от цены размещения на основном месте.</w:t>
        <w:tab/>
      </w:r>
    </w:p>
    <w:p>
      <w:pPr>
        <w:pStyle w:val="style0"/>
        <w:ind w:hanging="0" w:left="1418" w:right="0"/>
      </w:pPr>
      <w:r>
        <w:rPr>
          <w:rFonts w:ascii="Tahoma" w:cs="Tahoma" w:hAnsi="Tahoma"/>
          <w:iCs/>
          <w:sz w:val="18"/>
          <w:szCs w:val="18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Услуги, входящие в стоимость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проживание;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завтрак с 01.10 по 31.05; </w:t>
      </w:r>
    </w:p>
    <w:p>
      <w:pPr>
        <w:pStyle w:val="style0"/>
        <w:tabs>
          <w:tab w:leader="none" w:pos="2498" w:val="left"/>
        </w:tabs>
        <w:ind w:hanging="0" w:left="1080" w:right="0"/>
        <w:jc w:val="both"/>
      </w:pPr>
      <w:r>
        <w:rPr>
          <w:rFonts w:ascii="Tahoma" w:cs="Tahoma" w:hAnsi="Tahoma"/>
          <w:sz w:val="18"/>
          <w:szCs w:val="18"/>
        </w:rPr>
        <w:t xml:space="preserve">      </w:t>
      </w:r>
      <w:r>
        <w:rPr>
          <w:rFonts w:ascii="Tahoma" w:cs="Tahoma" w:hAnsi="Tahoma"/>
          <w:sz w:val="18"/>
          <w:szCs w:val="18"/>
        </w:rPr>
        <w:t>3-х разовое комплексное питание с 01.06 по 11.06 и с 15.09 по 30.09;</w:t>
      </w:r>
    </w:p>
    <w:p>
      <w:pPr>
        <w:pStyle w:val="style0"/>
        <w:tabs>
          <w:tab w:leader="none" w:pos="2552" w:val="left"/>
        </w:tabs>
        <w:ind w:hanging="0" w:left="1134" w:right="0"/>
        <w:jc w:val="both"/>
      </w:pPr>
      <w:r>
        <w:rPr>
          <w:rFonts w:ascii="Tahoma" w:cs="Tahoma" w:hAnsi="Tahoma"/>
          <w:sz w:val="18"/>
          <w:szCs w:val="18"/>
        </w:rPr>
        <w:t xml:space="preserve">     </w:t>
      </w:r>
      <w:r>
        <w:rPr>
          <w:rFonts w:ascii="Tahoma" w:cs="Tahoma" w:hAnsi="Tahoma"/>
          <w:sz w:val="18"/>
          <w:szCs w:val="18"/>
        </w:rPr>
        <w:t>3-х разовое питание по системе «Шведский стол» с 12.06 по 14.09 (питание может быть исключено из стоимости                                                                                    проживания по Вашему запросу);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bookmarkStart w:id="0" w:name="_GoBack"/>
      <w:bookmarkEnd w:id="0"/>
      <w:r>
        <w:rPr>
          <w:rFonts w:ascii="Tahoma" w:cs="Tahoma" w:hAnsi="Tahoma"/>
          <w:sz w:val="18"/>
          <w:szCs w:val="18"/>
        </w:rPr>
        <w:t>пользование открытым бассейном, мини-футбольным полем, настольным теннисом, детской площадкой;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анимация для детей и взрослых с 10.06 по 10.09;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  <w:lang w:val="en-US"/>
        </w:rPr>
        <w:t>Wi</w:t>
      </w:r>
      <w:r>
        <w:rPr>
          <w:rFonts w:ascii="Tahoma" w:cs="Tahoma" w:hAnsi="Tahoma"/>
          <w:sz w:val="18"/>
          <w:szCs w:val="18"/>
        </w:rPr>
        <w:t>-</w:t>
      </w:r>
      <w:r>
        <w:rPr>
          <w:rFonts w:ascii="Tahoma" w:cs="Tahoma" w:hAnsi="Tahoma"/>
          <w:sz w:val="18"/>
          <w:szCs w:val="18"/>
          <w:lang w:val="en-US"/>
        </w:rPr>
        <w:t>Fi</w:t>
      </w:r>
      <w:r>
        <w:rPr>
          <w:rFonts w:ascii="Tahoma" w:cs="Tahoma" w:hAnsi="Tahoma"/>
          <w:sz w:val="18"/>
          <w:szCs w:val="18"/>
        </w:rPr>
        <w:t xml:space="preserve"> интернет на всей территории «Генрих 1», и в холле «Генрих 2»;</w:t>
      </w:r>
    </w:p>
    <w:p>
      <w:pPr>
        <w:pStyle w:val="style0"/>
        <w:tabs>
          <w:tab w:leader="none" w:pos="2552" w:val="left"/>
        </w:tabs>
        <w:ind w:hanging="0" w:left="1134" w:right="0"/>
        <w:jc w:val="both"/>
      </w:pPr>
      <w:r>
        <w:rPr>
          <w:rFonts w:ascii="Tahoma" w:cs="Tahoma" w:hAnsi="Tahoma"/>
          <w:sz w:val="18"/>
          <w:szCs w:val="18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</w:t>
      </w:r>
      <w:r>
        <w:rPr>
          <w:rFonts w:ascii="Tahoma" w:cs="Tahoma" w:hAnsi="Tahoma"/>
          <w:b/>
          <w:sz w:val="18"/>
          <w:szCs w:val="18"/>
          <w:lang w:val="en-US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за дополнительную плату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поздний выезд;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трансфер;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экскурсии;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стирка одежды</w:t>
      </w:r>
    </w:p>
    <w:p>
      <w:pPr>
        <w:pStyle w:val="style0"/>
        <w:tabs>
          <w:tab w:leader="none" w:pos="1418" w:val="left"/>
        </w:tabs>
        <w:jc w:val="right"/>
      </w:pPr>
      <w:r>
        <w:rPr>
          <w:rFonts w:ascii="Tahoma" w:cs="Tahoma" w:hAnsi="Tahoma"/>
          <w:b/>
          <w:sz w:val="20"/>
          <w:szCs w:val="18"/>
        </w:rPr>
        <w:t>Тел. Бронирования 8 918 681 32 84</w:t>
      </w:r>
    </w:p>
    <w:p>
      <w:pPr>
        <w:pStyle w:val="style0"/>
        <w:tabs>
          <w:tab w:leader="none" w:pos="1418" w:val="left"/>
        </w:tabs>
        <w:jc w:val="right"/>
      </w:pPr>
      <w:r>
        <w:rPr>
          <w:rFonts w:ascii="Tahoma" w:cs="Tahoma" w:hAnsi="Tahoma"/>
          <w:b/>
          <w:bCs/>
          <w:sz w:val="20"/>
          <w:szCs w:val="20"/>
        </w:rPr>
        <w:t>8 918 906 28 48</w:t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2"/>
          <w:szCs w:val="18"/>
        </w:rPr>
        <w:t>Звоните и бронируйте</w:t>
      </w:r>
      <w:r>
        <w:rPr>
          <w:rFonts w:ascii="Tahoma" w:cs="Tahoma" w:hAnsi="Tahoma"/>
          <w:b/>
          <w:sz w:val="20"/>
          <w:szCs w:val="18"/>
        </w:rPr>
        <w:t>!</w:t>
      </w:r>
    </w:p>
    <w:sectPr>
      <w:type w:val="nextPage"/>
      <w:pgSz w:h="16838" w:w="11906"/>
      <w:pgMar w:bottom="232" w:footer="0" w:gutter="0" w:header="0" w:left="425" w:right="424" w:top="22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Wingdings">
    <w:charset w:val="02"/>
    <w:family w:val="auto"/>
    <w:pitch w:val="default"/>
  </w:font>
  <w:font w:name="Courier New">
    <w:charset w:val="80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"/>
      <w:lvlJc w:val="left"/>
      <w:pPr>
        <w:ind w:hanging="360" w:left="1425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2145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65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585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05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25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45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65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185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hanging="360" w:left="108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Times New Roman" w:eastAsia="Lucida Sans Unicode" w:hAnsi="Times New Roman"/>
      <w:color w:val="auto"/>
      <w:sz w:val="24"/>
      <w:szCs w:val="24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>
      <w:rFonts w:ascii="Wingdings" w:hAnsi="Wingdings"/>
    </w:rPr>
  </w:style>
  <w:style w:styleId="style17" w:type="character">
    <w:name w:val="WW8Num2z0"/>
    <w:next w:val="style17"/>
    <w:rPr>
      <w:rFonts w:ascii="Wingdings" w:hAnsi="Wingdings"/>
    </w:rPr>
  </w:style>
  <w:style w:styleId="style18" w:type="character">
    <w:name w:val="Absatz-Standardschriftart"/>
    <w:next w:val="style18"/>
    <w:rPr/>
  </w:style>
  <w:style w:styleId="style19" w:type="character">
    <w:name w:val="WW-Absatz-Standardschriftart"/>
    <w:next w:val="style19"/>
    <w:rPr/>
  </w:style>
  <w:style w:styleId="style20" w:type="character">
    <w:name w:val="WW-Absatz-Standardschriftart1"/>
    <w:next w:val="style20"/>
    <w:rPr/>
  </w:style>
  <w:style w:styleId="style21" w:type="character">
    <w:name w:val="WW-Absatz-Standardschriftart11"/>
    <w:next w:val="style21"/>
    <w:rPr/>
  </w:style>
  <w:style w:styleId="style22" w:type="character">
    <w:name w:val="Основной шрифт абзаца2"/>
    <w:next w:val="style22"/>
    <w:rPr/>
  </w:style>
  <w:style w:styleId="style23" w:type="character">
    <w:name w:val="WW-Absatz-Standardschriftart111"/>
    <w:next w:val="style23"/>
    <w:rPr/>
  </w:style>
  <w:style w:styleId="style24" w:type="character">
    <w:name w:val="WW-Absatz-Standardschriftart1111"/>
    <w:next w:val="style24"/>
    <w:rPr/>
  </w:style>
  <w:style w:styleId="style25" w:type="character">
    <w:name w:val="WW-Absatz-Standardschriftart11111"/>
    <w:next w:val="style25"/>
    <w:rPr/>
  </w:style>
  <w:style w:styleId="style26" w:type="character">
    <w:name w:val="WW-Absatz-Standardschriftart111111"/>
    <w:next w:val="style26"/>
    <w:rPr/>
  </w:style>
  <w:style w:styleId="style27" w:type="character">
    <w:name w:val="WW-Absatz-Standardschriftart1111111"/>
    <w:next w:val="style27"/>
    <w:rPr/>
  </w:style>
  <w:style w:styleId="style28" w:type="character">
    <w:name w:val="Основной шрифт абзаца1"/>
    <w:next w:val="style28"/>
    <w:rPr/>
  </w:style>
  <w:style w:styleId="style29" w:type="character">
    <w:name w:val="WW-Absatz-Standardschriftart11111111"/>
    <w:next w:val="style29"/>
    <w:rPr/>
  </w:style>
  <w:style w:styleId="style30" w:type="character">
    <w:name w:val="WW-Absatz-Standardschriftart111111111"/>
    <w:next w:val="style30"/>
    <w:rPr/>
  </w:style>
  <w:style w:styleId="style31" w:type="character">
    <w:name w:val="WW-Absatz-Standardschriftart1111111111"/>
    <w:next w:val="style31"/>
    <w:rPr/>
  </w:style>
  <w:style w:styleId="style32" w:type="character">
    <w:name w:val="WW8Num2z1"/>
    <w:next w:val="style32"/>
    <w:rPr>
      <w:rFonts w:ascii="Courier New" w:cs="Courier New" w:hAnsi="Courier New"/>
    </w:rPr>
  </w:style>
  <w:style w:styleId="style33" w:type="character">
    <w:name w:val="WW8Num2z3"/>
    <w:next w:val="style33"/>
    <w:rPr>
      <w:rFonts w:ascii="Symbol" w:hAnsi="Symbol"/>
    </w:rPr>
  </w:style>
  <w:style w:styleId="style34" w:type="character">
    <w:name w:val="WW8Num1z1"/>
    <w:next w:val="style34"/>
    <w:rPr>
      <w:rFonts w:ascii="Courier New" w:cs="Courier New" w:hAnsi="Courier New"/>
    </w:rPr>
  </w:style>
  <w:style w:styleId="style35" w:type="character">
    <w:name w:val="WW8Num1z3"/>
    <w:next w:val="style35"/>
    <w:rPr>
      <w:rFonts w:ascii="Symbol" w:hAnsi="Symbol"/>
    </w:rPr>
  </w:style>
  <w:style w:styleId="style36" w:type="character">
    <w:name w:val="Интернет-ссылка"/>
    <w:next w:val="style36"/>
    <w:rPr>
      <w:color w:val="000080"/>
      <w:u w:val="single"/>
      <w:lang w:bidi="ru-RU" w:eastAsia="ru-RU" w:val="ru-RU"/>
    </w:rPr>
  </w:style>
  <w:style w:styleId="style37" w:type="character">
    <w:name w:val="Текст выноски Знак"/>
    <w:next w:val="style37"/>
    <w:rPr>
      <w:rFonts w:ascii="Tahoma" w:cs="Tahoma" w:eastAsia="Lucida Sans Unicode" w:hAnsi="Tahoma"/>
      <w:sz w:val="16"/>
      <w:szCs w:val="16"/>
      <w:lang w:eastAsia="ar-SA"/>
    </w:rPr>
  </w:style>
  <w:style w:styleId="style38" w:type="character">
    <w:name w:val="Верхний колонтитул Знак"/>
    <w:next w:val="style38"/>
    <w:rPr>
      <w:sz w:val="24"/>
      <w:szCs w:val="24"/>
      <w:lang w:eastAsia="ar-SA"/>
    </w:rPr>
  </w:style>
  <w:style w:styleId="style39" w:type="character">
    <w:name w:val="apple-converted-space"/>
    <w:basedOn w:val="style28"/>
    <w:next w:val="style39"/>
    <w:rPr/>
  </w:style>
  <w:style w:styleId="style40" w:type="character">
    <w:name w:val="FollowedHyperlink"/>
    <w:next w:val="style40"/>
    <w:rPr>
      <w:color w:val="800080"/>
      <w:u w:val="single"/>
    </w:rPr>
  </w:style>
  <w:style w:styleId="style41" w:type="character">
    <w:name w:val="ListLabel 1"/>
    <w:next w:val="style41"/>
    <w:rPr>
      <w:rFonts w:cs="Courier New"/>
    </w:rPr>
  </w:style>
  <w:style w:styleId="style42" w:type="paragraph">
    <w:name w:val="Заголовок"/>
    <w:basedOn w:val="style0"/>
    <w:next w:val="style43"/>
    <w:pPr>
      <w:keepNext/>
      <w:spacing w:after="120" w:before="240"/>
    </w:pPr>
    <w:rPr>
      <w:rFonts w:ascii="Arial" w:cs="Tahoma" w:eastAsia="Droid Sans" w:hAnsi="Arial"/>
      <w:sz w:val="28"/>
      <w:szCs w:val="28"/>
    </w:rPr>
  </w:style>
  <w:style w:styleId="style43" w:type="paragraph">
    <w:name w:val="Основной текст"/>
    <w:basedOn w:val="style0"/>
    <w:next w:val="style43"/>
    <w:pPr>
      <w:spacing w:after="120" w:before="0"/>
    </w:pPr>
    <w:rPr/>
  </w:style>
  <w:style w:styleId="style44" w:type="paragraph">
    <w:name w:val="Список"/>
    <w:basedOn w:val="style43"/>
    <w:next w:val="style44"/>
    <w:pPr/>
    <w:rPr>
      <w:rFonts w:cs="Tahoma"/>
    </w:rPr>
  </w:style>
  <w:style w:styleId="style45" w:type="paragraph">
    <w:name w:val="Название"/>
    <w:basedOn w:val="style0"/>
    <w:next w:val="style45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46" w:type="paragraph">
    <w:name w:val="Указатель"/>
    <w:basedOn w:val="style0"/>
    <w:next w:val="style46"/>
    <w:pPr>
      <w:suppressLineNumbers/>
    </w:pPr>
    <w:rPr>
      <w:rFonts w:cs="Lohit Hindi"/>
    </w:rPr>
  </w:style>
  <w:style w:styleId="style47" w:type="paragraph">
    <w:name w:val="Название3"/>
    <w:basedOn w:val="style0"/>
    <w:next w:val="style47"/>
    <w:pPr>
      <w:suppressLineNumbers/>
      <w:spacing w:after="120" w:before="120"/>
    </w:pPr>
    <w:rPr>
      <w:rFonts w:cs="Tahoma"/>
      <w:i/>
      <w:iCs/>
    </w:rPr>
  </w:style>
  <w:style w:styleId="style48" w:type="paragraph">
    <w:name w:val="Указатель3"/>
    <w:basedOn w:val="style0"/>
    <w:next w:val="style48"/>
    <w:pPr>
      <w:suppressLineNumbers/>
    </w:pPr>
    <w:rPr>
      <w:rFonts w:cs="Tahoma"/>
    </w:rPr>
  </w:style>
  <w:style w:styleId="style49" w:type="paragraph">
    <w:name w:val="Название2"/>
    <w:basedOn w:val="style0"/>
    <w:next w:val="style49"/>
    <w:pPr>
      <w:suppressLineNumbers/>
      <w:spacing w:after="120" w:before="120"/>
    </w:pPr>
    <w:rPr>
      <w:rFonts w:cs="Tahoma"/>
      <w:i/>
      <w:iCs/>
    </w:rPr>
  </w:style>
  <w:style w:styleId="style50" w:type="paragraph">
    <w:name w:val="Указатель2"/>
    <w:basedOn w:val="style0"/>
    <w:next w:val="style50"/>
    <w:pPr>
      <w:suppressLineNumbers/>
    </w:pPr>
    <w:rPr>
      <w:rFonts w:cs="Tahoma"/>
    </w:rPr>
  </w:style>
  <w:style w:styleId="style51" w:type="paragraph">
    <w:name w:val="Название1"/>
    <w:basedOn w:val="style0"/>
    <w:next w:val="style51"/>
    <w:pPr>
      <w:suppressLineNumbers/>
      <w:spacing w:after="120" w:before="120"/>
    </w:pPr>
    <w:rPr>
      <w:rFonts w:cs="Tahoma"/>
      <w:i/>
      <w:iCs/>
    </w:rPr>
  </w:style>
  <w:style w:styleId="style52" w:type="paragraph">
    <w:name w:val="Указатель1"/>
    <w:basedOn w:val="style0"/>
    <w:next w:val="style52"/>
    <w:pPr>
      <w:suppressLineNumbers/>
    </w:pPr>
    <w:rPr>
      <w:rFonts w:cs="Tahoma"/>
    </w:rPr>
  </w:style>
  <w:style w:styleId="style53" w:type="paragraph">
    <w:name w:val="Заглавие"/>
    <w:basedOn w:val="style42"/>
    <w:next w:val="style54"/>
    <w:pPr>
      <w:jc w:val="center"/>
    </w:pPr>
    <w:rPr>
      <w:b/>
      <w:bCs/>
      <w:sz w:val="36"/>
      <w:szCs w:val="36"/>
    </w:rPr>
  </w:style>
  <w:style w:styleId="style54" w:type="paragraph">
    <w:name w:val="Подзаголовок"/>
    <w:basedOn w:val="style42"/>
    <w:next w:val="style43"/>
    <w:pPr>
      <w:jc w:val="center"/>
    </w:pPr>
    <w:rPr>
      <w:i/>
      <w:iCs/>
      <w:sz w:val="28"/>
      <w:szCs w:val="28"/>
    </w:rPr>
  </w:style>
  <w:style w:styleId="style55" w:type="paragraph">
    <w:name w:val="Содержимое таблицы"/>
    <w:basedOn w:val="style0"/>
    <w:next w:val="style55"/>
    <w:pPr>
      <w:suppressLineNumbers/>
    </w:pPr>
    <w:rPr/>
  </w:style>
  <w:style w:styleId="style56" w:type="paragraph">
    <w:name w:val="Заголовок таблицы"/>
    <w:basedOn w:val="style55"/>
    <w:next w:val="style56"/>
    <w:pPr>
      <w:suppressLineNumbers/>
      <w:jc w:val="center"/>
    </w:pPr>
    <w:rPr>
      <w:b/>
      <w:bCs/>
      <w:i/>
      <w:iCs/>
    </w:rPr>
  </w:style>
  <w:style w:styleId="style57" w:type="paragraph">
    <w:name w:val="No Spacing"/>
    <w:next w:val="style57"/>
    <w:pPr>
      <w:widowControl w:val="false"/>
      <w:tabs>
        <w:tab w:leader="none" w:pos="709" w:val="left"/>
      </w:tabs>
      <w:suppressAutoHyphens w:val="true"/>
    </w:pPr>
    <w:rPr>
      <w:rFonts w:ascii="Times New Roman" w:cs="Times New Roman" w:eastAsia="Lucida Sans Unicode" w:hAnsi="Times New Roman"/>
      <w:color w:val="auto"/>
      <w:sz w:val="24"/>
      <w:szCs w:val="24"/>
      <w:lang w:bidi="ar-SA" w:eastAsia="ar-SA" w:val="ru-RU"/>
    </w:rPr>
  </w:style>
  <w:style w:styleId="style58" w:type="paragraph">
    <w:name w:val="Balloon Text"/>
    <w:basedOn w:val="style0"/>
    <w:next w:val="style58"/>
    <w:pPr/>
    <w:rPr>
      <w:rFonts w:ascii="Tahoma" w:hAnsi="Tahoma"/>
      <w:sz w:val="16"/>
      <w:szCs w:val="16"/>
      <w:lang w:val="en-US"/>
    </w:rPr>
  </w:style>
  <w:style w:styleId="style59" w:type="paragraph">
    <w:name w:val="Верхний колонтитул"/>
    <w:basedOn w:val="style0"/>
    <w:next w:val="style59"/>
    <w:pPr>
      <w:widowControl/>
      <w:suppressLineNumbers/>
      <w:tabs>
        <w:tab w:leader="none" w:pos="4677" w:val="center"/>
        <w:tab w:leader="none" w:pos="9355" w:val="right"/>
      </w:tabs>
    </w:pPr>
    <w:rPr>
      <w:rFonts w:eastAsia="Times New Roman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2015-03-19T10:03:00.00Z</dcterms:created>
  <dc:creator>Менеджер</dc:creator>
  <cp:lastModifiedBy>User</cp:lastModifiedBy>
  <cp:lastPrinted>2015-03-19T10:04:00.00Z</cp:lastPrinted>
  <dcterms:modified xsi:type="dcterms:W3CDTF">2015-03-19T10:06:00.00Z</dcterms:modified>
  <cp:revision>4</cp:revision>
  <dc:title>8-918-906-28-48</dc:title>
</cp:coreProperties>
</file>