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Calibri" w:cs="Tahoma" w:hAnsi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57"/>
        <w:tabs>
          <w:tab w:leader="none" w:pos="993" w:val="left"/>
        </w:tabs>
        <w:jc w:val="right"/>
      </w:pPr>
      <w:r>
        <w:rPr>
          <w:rFonts w:ascii="Calibri" w:cs="Tahoma" w:hAnsi="Calibri"/>
          <w:sz w:val="28"/>
          <w:szCs w:val="28"/>
        </w:rPr>
        <w:t xml:space="preserve">   </w:t>
      </w:r>
      <w:r>
        <w:rPr>
          <w:rFonts w:ascii="Arial" w:cs="Arial" w:eastAsia="Calibri" w:hAnsi="Arial"/>
          <w:sz w:val="18"/>
          <w:szCs w:val="18"/>
          <w:lang w:eastAsia="en-US"/>
        </w:rPr>
        <w:t>Приложение №_</w:t>
      </w:r>
    </w:p>
    <w:p>
      <w:pPr>
        <w:pStyle w:val="style0"/>
        <w:widowControl/>
        <w:suppressAutoHyphens w:val="false"/>
        <w:jc w:val="right"/>
      </w:pPr>
      <w:r>
        <w:rPr>
          <w:rFonts w:ascii="Arial" w:cs="Arial" w:eastAsia="Calibri" w:hAnsi="Arial"/>
          <w:sz w:val="18"/>
          <w:szCs w:val="18"/>
          <w:lang w:eastAsia="en-US"/>
        </w:rPr>
        <w:t>к « Агентскому договору № __ от «__» _____ 2014 г.</w:t>
      </w:r>
    </w:p>
    <w:p>
      <w:pPr>
        <w:pStyle w:val="style57"/>
        <w:tabs>
          <w:tab w:leader="none" w:pos="993" w:val="left"/>
        </w:tabs>
        <w:jc w:val="right"/>
      </w:pPr>
      <w:r>
        <w:rPr>
          <w:rFonts w:ascii="Calibri" w:cs="Tahoma" w:hAnsi="Calibri"/>
          <w:sz w:val="28"/>
          <w:szCs w:val="28"/>
        </w:rPr>
        <w:t xml:space="preserve">   </w:t>
      </w:r>
    </w:p>
    <w:p>
      <w:pPr>
        <w:pStyle w:val="style0"/>
      </w:pPr>
      <w:r>
        <w:rPr>
          <w:rFonts w:ascii="Calibri" w:cs="Tahoma" w:hAnsi="Calibri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rFonts w:ascii="Calibri" w:cs="Tahoma" w:hAnsi="Calibri"/>
          <w:sz w:val="28"/>
          <w:szCs w:val="28"/>
        </w:rPr>
        <w:t xml:space="preserve">8-918-681-32-84  </w:t>
      </w:r>
    </w:p>
    <w:p>
      <w:pPr>
        <w:pStyle w:val="style0"/>
      </w:pPr>
      <w:r>
        <w:rPr>
          <w:rFonts w:ascii="Calibri" w:cs="Tahoma" w:hAnsi="Calibri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rFonts w:ascii="Calibri" w:cs="Tahoma" w:hAnsi="Calibri"/>
          <w:sz w:val="28"/>
          <w:szCs w:val="28"/>
        </w:rPr>
        <w:t xml:space="preserve">8-918-906-28-48  </w:t>
      </w:r>
    </w:p>
    <w:p>
      <w:pPr>
        <w:pStyle w:val="style0"/>
      </w:pPr>
      <w:r>
        <w:rPr>
          <w:rFonts w:ascii="Calibri" w:cs="Tahoma" w:hAnsi="Calibri"/>
          <w:sz w:val="28"/>
          <w:szCs w:val="28"/>
        </w:rPr>
        <w:t xml:space="preserve">         </w:t>
      </w:r>
    </w:p>
    <w:p>
      <w:pPr>
        <w:pStyle w:val="style0"/>
      </w:pPr>
      <w:r>
        <w:rPr>
          <w:rFonts w:ascii="Calibri" w:cs="Tahoma" w:hAnsi="Calibri"/>
          <w:sz w:val="20"/>
          <w:szCs w:val="20"/>
        </w:rPr>
      </w:r>
    </w:p>
    <w:p>
      <w:pPr>
        <w:pStyle w:val="style0"/>
      </w:pPr>
      <w:r>
        <w:rPr>
          <w:rFonts w:ascii="Calibri" w:cs="Tahoma" w:hAnsi="Calibri"/>
          <w:sz w:val="20"/>
          <w:szCs w:val="20"/>
        </w:rPr>
      </w:r>
    </w:p>
    <w:p>
      <w:pPr>
        <w:pStyle w:val="style0"/>
      </w:pPr>
      <w:r>
        <w:rPr>
          <w:rFonts w:ascii="Calibri" w:cs="Tahoma" w:hAnsi="Calibri"/>
          <w:sz w:val="20"/>
          <w:szCs w:val="20"/>
        </w:rPr>
      </w:r>
    </w:p>
    <w:p>
      <w:pPr>
        <w:pStyle w:val="style0"/>
      </w:pPr>
      <w:r>
        <w:rPr>
          <w:rFonts w:ascii="Calibri" w:cs="Tahoma" w:hAnsi="Calibri"/>
          <w:b/>
          <w:sz w:val="40"/>
          <w:szCs w:val="40"/>
        </w:rPr>
        <w:t xml:space="preserve">                                             </w:t>
      </w:r>
      <w:r>
        <w:rPr>
          <w:rFonts w:ascii="Calibri" w:cs="Tahoma" w:hAnsi="Calibri"/>
          <w:b/>
          <w:sz w:val="40"/>
          <w:szCs w:val="40"/>
        </w:rPr>
        <w:t>Отель « Генрих »</w:t>
      </w:r>
    </w:p>
    <w:p>
      <w:pPr>
        <w:pStyle w:val="style0"/>
      </w:pPr>
      <w:r>
        <w:rPr>
          <w:rFonts w:ascii="Calibri" w:cs="Tahoma" w:hAnsi="Calibri"/>
          <w:sz w:val="20"/>
          <w:szCs w:val="20"/>
        </w:rPr>
      </w:r>
    </w:p>
    <w:p>
      <w:pPr>
        <w:pStyle w:val="style0"/>
        <w:tabs>
          <w:tab w:leader="none" w:pos="6105" w:val="left"/>
        </w:tabs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tabs>
          <w:tab w:leader="none" w:pos="6105" w:val="left"/>
        </w:tabs>
        <w:jc w:val="center"/>
      </w:pPr>
      <w:r>
        <w:rPr>
          <w:rFonts w:ascii="Tahoma" w:cs="Tahoma" w:hAnsi="Tahoma"/>
          <w:b/>
          <w:bCs/>
          <w:sz w:val="20"/>
          <w:szCs w:val="20"/>
        </w:rPr>
      </w:r>
    </w:p>
    <w:p>
      <w:pPr>
        <w:pStyle w:val="style0"/>
        <w:tabs>
          <w:tab w:leader="none" w:pos="6105" w:val="left"/>
        </w:tabs>
      </w:pPr>
      <w:r>
        <w:rPr>
          <w:rFonts w:ascii="Tahoma" w:cs="Tahoma" w:hAnsi="Tahoma"/>
          <w:b/>
          <w:bCs/>
          <w:sz w:val="23"/>
          <w:szCs w:val="23"/>
        </w:rPr>
        <w:t xml:space="preserve">                                                         </w:t>
      </w:r>
      <w:r>
        <w:rPr>
          <w:rFonts w:ascii="Tahoma" w:cs="Tahoma" w:hAnsi="Tahoma"/>
          <w:b/>
          <w:bCs/>
          <w:sz w:val="23"/>
          <w:szCs w:val="23"/>
        </w:rPr>
        <w:t>Прейскурант на проживание</w:t>
      </w:r>
    </w:p>
    <w:p>
      <w:pPr>
        <w:pStyle w:val="style0"/>
        <w:tabs>
          <w:tab w:leader="none" w:pos="6105" w:val="left"/>
        </w:tabs>
        <w:jc w:val="center"/>
      </w:pPr>
      <w:r>
        <w:rPr>
          <w:rFonts w:ascii="Tahoma" w:cs="Tahoma" w:hAnsi="Tahoma"/>
          <w:b/>
          <w:bCs/>
          <w:sz w:val="20"/>
          <w:szCs w:val="20"/>
        </w:rPr>
        <w:t>Цены действуют с 01.12.2014 по 31.12.2015</w:t>
      </w:r>
    </w:p>
    <w:p>
      <w:pPr>
        <w:pStyle w:val="style0"/>
        <w:tabs>
          <w:tab w:leader="none" w:pos="6105" w:val="left"/>
        </w:tabs>
        <w:jc w:val="center"/>
      </w:pPr>
      <w:r>
        <w:rPr>
          <w:rFonts w:ascii="Tahoma" w:cs="Tahoma" w:hAnsi="Tahoma"/>
          <w:b/>
          <w:bCs/>
          <w:sz w:val="20"/>
          <w:szCs w:val="20"/>
        </w:rPr>
      </w:r>
    </w:p>
    <w:p>
      <w:pPr>
        <w:pStyle w:val="style0"/>
        <w:tabs>
          <w:tab w:leader="none" w:pos="6105" w:val="left"/>
        </w:tabs>
        <w:jc w:val="center"/>
      </w:pPr>
      <w:r>
        <w:rPr>
          <w:rFonts w:ascii="Tahoma" w:cs="Tahoma" w:hAnsi="Tahoma"/>
          <w:b/>
          <w:bCs/>
          <w:sz w:val="20"/>
          <w:szCs w:val="20"/>
        </w:rPr>
      </w:r>
    </w:p>
    <w:p>
      <w:pPr>
        <w:pStyle w:val="style0"/>
        <w:jc w:val="center"/>
      </w:pPr>
      <w:r>
        <w:rPr>
          <w:rFonts w:ascii="Tahoma" w:cs="Tahoma" w:hAnsi="Tahoma"/>
          <w:b/>
          <w:bCs/>
          <w:sz w:val="10"/>
          <w:szCs w:val="10"/>
        </w:rPr>
      </w:r>
    </w:p>
    <w:p>
      <w:pPr>
        <w:pStyle w:val="style0"/>
      </w:pPr>
      <w:r>
        <w:rPr>
          <w:rFonts w:ascii="Tahoma" w:cs="Tahoma" w:hAnsi="Tahoma"/>
          <w:b/>
          <w:sz w:val="20"/>
          <w:szCs w:val="20"/>
        </w:rPr>
        <w:t>Стоимость за человека в сутки, руб.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right w:color="00000A" w:space="0" w:sz="4" w:val="single"/>
        </w:tblBorders>
      </w:tblPr>
      <w:tblGrid>
        <w:gridCol w:w="2567"/>
        <w:gridCol w:w="841"/>
        <w:gridCol w:w="1408"/>
        <w:gridCol w:w="870"/>
        <w:gridCol w:w="1017"/>
        <w:gridCol w:w="760"/>
        <w:gridCol w:w="759"/>
        <w:gridCol w:w="760"/>
        <w:gridCol w:w="760"/>
        <w:gridCol w:w="760"/>
        <w:gridCol w:w="769"/>
      </w:tblGrid>
      <w:tr>
        <w:trPr>
          <w:trHeight w:hRule="atLeast" w:val="471"/>
          <w:cantSplit w:val="false"/>
        </w:trPr>
        <w:tc>
          <w:tcPr>
            <w:tcW w:type="dxa" w:w="256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1440" w:val="left"/>
                <w:tab w:leader="none" w:pos="1755" w:val="left"/>
              </w:tabs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20"/>
                <w:szCs w:val="20"/>
                <w:lang w:eastAsia="ru-RU"/>
              </w:rPr>
              <w:t>КАТЕГОРИЯ НОМЕРА</w:t>
            </w:r>
          </w:p>
        </w:tc>
        <w:tc>
          <w:tcPr>
            <w:tcW w:type="dxa" w:w="841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6"/>
                <w:szCs w:val="16"/>
                <w:lang w:eastAsia="ru-RU"/>
              </w:rPr>
              <w:t>Корпус</w:t>
            </w:r>
          </w:p>
        </w:tc>
        <w:tc>
          <w:tcPr>
            <w:tcW w:type="dxa" w:w="1408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Кол-во мест</w:t>
            </w:r>
          </w:p>
        </w:tc>
        <w:tc>
          <w:tcPr>
            <w:tcW w:type="dxa" w:w="870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Разме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щение</w:t>
            </w:r>
          </w:p>
        </w:tc>
        <w:tc>
          <w:tcPr>
            <w:tcW w:type="dxa" w:w="101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01.12.</w:t>
            </w: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14</w:t>
            </w: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31.12.14</w:t>
            </w:r>
          </w:p>
        </w:tc>
        <w:tc>
          <w:tcPr>
            <w:tcW w:type="dxa" w:w="760"/>
            <w:vMerge w:val="restart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01.01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10.01</w:t>
            </w:r>
          </w:p>
        </w:tc>
        <w:tc>
          <w:tcPr>
            <w:tcW w:type="dxa" w:w="759"/>
            <w:vMerge w:val="restart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11.01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06</w:t>
            </w: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.0</w:t>
            </w: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3</w:t>
            </w:r>
          </w:p>
        </w:tc>
        <w:tc>
          <w:tcPr>
            <w:tcW w:type="dxa" w:w="760"/>
            <w:vMerge w:val="restart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07.03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type="dxa" w:w="760"/>
            <w:vMerge w:val="restart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17.03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type="dxa" w:w="760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01.05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type="dxa" w:w="769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11.05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31.05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41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осн.</w:t>
            </w:r>
          </w:p>
        </w:tc>
        <w:tc>
          <w:tcPr>
            <w:tcW w:type="dxa" w:w="7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доп.</w:t>
            </w:r>
          </w:p>
        </w:tc>
        <w:tc>
          <w:tcPr>
            <w:tcW w:type="dxa" w:w="870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101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60"/>
            <w:vMerge w:val="continue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59"/>
            <w:vMerge w:val="continue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60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60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60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69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rPr>
          <w:trHeight w:hRule="atLeast" w:val="438"/>
          <w:cantSplit w:val="false"/>
        </w:trPr>
        <w:tc>
          <w:tcPr>
            <w:tcW w:type="dxa" w:w="256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Стандарт 2-х местный</w:t>
            </w:r>
          </w:p>
        </w:tc>
        <w:tc>
          <w:tcPr>
            <w:tcW w:type="dxa" w:w="841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type="dxa" w:w="691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1200</w:t>
            </w:r>
          </w:p>
        </w:tc>
        <w:tc>
          <w:tcPr>
            <w:tcW w:type="dxa" w:w="759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1000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1000</w:t>
            </w:r>
          </w:p>
        </w:tc>
      </w:tr>
      <w:tr>
        <w:trPr>
          <w:trHeight w:hRule="atLeast" w:val="414"/>
          <w:cantSplit w:val="false"/>
        </w:trPr>
        <w:tc>
          <w:tcPr>
            <w:tcW w:type="dxa" w:w="256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41"/>
            <w:vMerge w:val="continue"/>
            <w:tcBorders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91"/>
            <w:vMerge w:val="continue"/>
            <w:tcBorders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7"/>
            <w:vMerge w:val="continue"/>
            <w:tcBorders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1500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1800</w:t>
            </w:r>
          </w:p>
        </w:tc>
        <w:tc>
          <w:tcPr>
            <w:tcW w:type="dxa" w:w="759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1500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6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1500</w:t>
            </w:r>
          </w:p>
        </w:tc>
      </w:tr>
      <w:tr>
        <w:trPr>
          <w:trHeight w:hRule="atLeast" w:val="554"/>
          <w:cantSplit w:val="false"/>
        </w:trPr>
        <w:tc>
          <w:tcPr>
            <w:tcW w:type="dxa" w:w="256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 xml:space="preserve">Стандарт семейный </w:t>
            </w:r>
          </w:p>
        </w:tc>
        <w:tc>
          <w:tcPr>
            <w:tcW w:type="dxa" w:w="841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691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71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осн.</w:t>
            </w:r>
          </w:p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900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59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900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900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900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1100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1100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651"/>
          <w:cantSplit w:val="false"/>
        </w:trPr>
        <w:tc>
          <w:tcPr>
            <w:tcW w:type="dxa" w:w="256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Стандарт семейный плюс</w:t>
            </w:r>
          </w:p>
        </w:tc>
        <w:tc>
          <w:tcPr>
            <w:tcW w:type="dxa" w:w="841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691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71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осн.</w:t>
            </w:r>
          </w:p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800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1000</w:t>
            </w:r>
          </w:p>
        </w:tc>
        <w:tc>
          <w:tcPr>
            <w:tcW w:type="dxa" w:w="759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800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800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800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1000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Студио</w:t>
            </w:r>
          </w:p>
        </w:tc>
        <w:tc>
          <w:tcPr>
            <w:tcW w:type="dxa" w:w="841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691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1300</w:t>
            </w:r>
          </w:p>
        </w:tc>
        <w:tc>
          <w:tcPr>
            <w:tcW w:type="dxa" w:w="759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1100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41"/>
            <w:vMerge w:val="continue"/>
            <w:tcBorders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91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1900</w:t>
            </w:r>
          </w:p>
        </w:tc>
        <w:tc>
          <w:tcPr>
            <w:tcW w:type="dxa" w:w="759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7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Студио романтик</w:t>
            </w:r>
          </w:p>
        </w:tc>
        <w:tc>
          <w:tcPr>
            <w:tcW w:type="dxa" w:w="841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691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1400</w:t>
            </w:r>
          </w:p>
        </w:tc>
        <w:tc>
          <w:tcPr>
            <w:tcW w:type="dxa" w:w="75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1100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41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91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2000</w:t>
            </w:r>
          </w:p>
        </w:tc>
        <w:tc>
          <w:tcPr>
            <w:tcW w:type="dxa" w:w="75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7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Стандарт 2-комн.</w:t>
            </w:r>
          </w:p>
        </w:tc>
        <w:tc>
          <w:tcPr>
            <w:tcW w:type="dxa" w:w="841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691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1400</w:t>
            </w:r>
          </w:p>
        </w:tc>
        <w:tc>
          <w:tcPr>
            <w:tcW w:type="dxa" w:w="75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1200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4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3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1400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41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91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2000</w:t>
            </w:r>
          </w:p>
        </w:tc>
        <w:tc>
          <w:tcPr>
            <w:tcW w:type="dxa" w:w="75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18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1800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Люкс 2-комн. с кухней</w:t>
            </w:r>
          </w:p>
        </w:tc>
        <w:tc>
          <w:tcPr>
            <w:tcW w:type="dxa" w:w="841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type="dxa" w:w="691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1200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5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1400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1500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41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91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1700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2200</w:t>
            </w:r>
          </w:p>
        </w:tc>
        <w:tc>
          <w:tcPr>
            <w:tcW w:type="dxa" w:w="75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1900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2200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Люкс 2-комн. с сауной</w:t>
            </w:r>
          </w:p>
        </w:tc>
        <w:tc>
          <w:tcPr>
            <w:tcW w:type="dxa" w:w="841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691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717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1300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1800</w:t>
            </w:r>
          </w:p>
        </w:tc>
        <w:tc>
          <w:tcPr>
            <w:tcW w:type="dxa" w:w="75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1500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6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1600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256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41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91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17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10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1800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2800</w:t>
            </w:r>
          </w:p>
        </w:tc>
        <w:tc>
          <w:tcPr>
            <w:tcW w:type="dxa" w:w="759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2300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type="dxa" w:w="76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type="dxa" w:w="7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2400</w:t>
            </w:r>
          </w:p>
        </w:tc>
      </w:tr>
    </w:tbl>
    <w:p>
      <w:pPr>
        <w:pStyle w:val="style0"/>
        <w:tabs>
          <w:tab w:leader="none" w:pos="6105" w:val="left"/>
        </w:tabs>
      </w:pPr>
      <w:r>
        <w:rPr>
          <w:rFonts w:ascii="Tahoma" w:cs="Tahoma" w:hAnsi="Tahoma"/>
          <w:b/>
          <w:bCs/>
          <w:sz w:val="20"/>
          <w:szCs w:val="20"/>
        </w:rPr>
      </w:r>
    </w:p>
    <w:p>
      <w:pPr>
        <w:pStyle w:val="style0"/>
        <w:numPr>
          <w:ilvl w:val="0"/>
          <w:numId w:val="1"/>
        </w:numPr>
        <w:ind w:firstLine="1247" w:left="-113" w:right="0"/>
      </w:pPr>
      <w:r>
        <w:rPr>
          <w:rFonts w:ascii="Tahoma" w:cs="Tahoma" w:hAnsi="Tahoma"/>
          <w:b/>
          <w:iCs/>
          <w:sz w:val="18"/>
          <w:szCs w:val="18"/>
          <w:lang w:val="en-US"/>
        </w:rPr>
        <w:t>SGL</w:t>
      </w:r>
      <w:r>
        <w:rPr>
          <w:rFonts w:ascii="Tahoma" w:cs="Tahoma" w:hAnsi="Tahoma"/>
          <w:b/>
          <w:iCs/>
          <w:sz w:val="18"/>
          <w:szCs w:val="18"/>
        </w:rPr>
        <w:t xml:space="preserve"> – одноместное размещение, </w:t>
      </w:r>
      <w:r>
        <w:rPr>
          <w:rFonts w:ascii="Tahoma" w:cs="Tahoma" w:hAnsi="Tahoma"/>
          <w:b/>
          <w:iCs/>
          <w:sz w:val="18"/>
          <w:szCs w:val="18"/>
          <w:lang w:val="en-US"/>
        </w:rPr>
        <w:t>DBL</w:t>
      </w:r>
      <w:r>
        <w:rPr>
          <w:rFonts w:ascii="Tahoma" w:cs="Tahoma" w:hAnsi="Tahoma"/>
          <w:b/>
          <w:iCs/>
          <w:sz w:val="18"/>
          <w:szCs w:val="18"/>
        </w:rPr>
        <w:t xml:space="preserve"> – двухместное размещение.</w:t>
      </w:r>
    </w:p>
    <w:p>
      <w:pPr>
        <w:pStyle w:val="style0"/>
        <w:numPr>
          <w:ilvl w:val="0"/>
          <w:numId w:val="1"/>
        </w:numPr>
        <w:ind w:firstLine="1247" w:left="-113" w:right="0"/>
      </w:pPr>
      <w:r>
        <w:rPr>
          <w:rFonts w:ascii="Tahoma" w:cs="Tahoma" w:hAnsi="Tahoma"/>
          <w:b/>
          <w:iCs/>
          <w:sz w:val="18"/>
          <w:szCs w:val="18"/>
        </w:rPr>
        <w:t xml:space="preserve">Для детей до 4 лет без предоставления места размещение и питание бесплатно весь сезон! </w:t>
      </w:r>
    </w:p>
    <w:p>
      <w:pPr>
        <w:pStyle w:val="style0"/>
        <w:numPr>
          <w:ilvl w:val="0"/>
          <w:numId w:val="1"/>
        </w:numPr>
        <w:ind w:hanging="284" w:left="1418" w:right="0"/>
      </w:pPr>
      <w:r>
        <w:rPr>
          <w:rFonts w:ascii="Tahoma" w:cs="Tahoma" w:hAnsi="Tahoma"/>
          <w:iCs/>
          <w:sz w:val="18"/>
          <w:szCs w:val="18"/>
        </w:rPr>
        <w:t>При размещении детей до 12 лет включительно на основном месте предоставляется скидка 20% от цены размещения на основном месте</w:t>
      </w:r>
    </w:p>
    <w:p>
      <w:pPr>
        <w:pStyle w:val="style0"/>
        <w:numPr>
          <w:ilvl w:val="0"/>
          <w:numId w:val="1"/>
        </w:numPr>
        <w:ind w:hanging="284" w:left="1418" w:right="0"/>
      </w:pPr>
      <w:r>
        <w:rPr>
          <w:rFonts w:ascii="Tahoma" w:cs="Tahoma" w:hAnsi="Tahoma"/>
          <w:iCs/>
          <w:sz w:val="18"/>
          <w:szCs w:val="18"/>
        </w:rPr>
        <w:t>При размещении взрослого на доп. месте предоставляется скидка 30% от цены размещения на основном месте.</w:t>
      </w:r>
    </w:p>
    <w:p>
      <w:pPr>
        <w:pStyle w:val="style0"/>
        <w:numPr>
          <w:ilvl w:val="0"/>
          <w:numId w:val="1"/>
        </w:numPr>
        <w:ind w:hanging="284" w:left="1418" w:right="0"/>
      </w:pPr>
      <w:r>
        <w:rPr>
          <w:rFonts w:ascii="Tahoma" w:cs="Tahoma" w:hAnsi="Tahoma"/>
          <w:iCs/>
          <w:sz w:val="18"/>
          <w:szCs w:val="18"/>
        </w:rPr>
        <w:t>При размещении детей до 12 лет включительно  на дополнительном месте предоставляется скидка 50% от цены размещения на основном месте.</w:t>
        <w:tab/>
      </w:r>
    </w:p>
    <w:p>
      <w:pPr>
        <w:pStyle w:val="style0"/>
        <w:ind w:hanging="0" w:left="1418" w:right="0"/>
      </w:pPr>
      <w:r>
        <w:rPr>
          <w:rFonts w:ascii="Tahoma" w:cs="Tahoma" w:hAnsi="Tahoma"/>
          <w:iCs/>
          <w:sz w:val="18"/>
          <w:szCs w:val="18"/>
        </w:rPr>
      </w:r>
    </w:p>
    <w:p>
      <w:pPr>
        <w:pStyle w:val="style0"/>
        <w:ind w:firstLine="1247" w:left="-113" w:right="0"/>
      </w:pPr>
      <w:r>
        <w:rPr>
          <w:rFonts w:ascii="Tahoma" w:cs="Tahoma" w:hAnsi="Tahoma"/>
          <w:b/>
          <w:sz w:val="18"/>
          <w:szCs w:val="18"/>
        </w:rPr>
        <w:t>Услуги, входящие в стоимость</w:t>
      </w:r>
      <w:r>
        <w:rPr>
          <w:rFonts w:ascii="Tahoma" w:cs="Tahoma" w:hAnsi="Tahoma"/>
          <w:sz w:val="18"/>
          <w:szCs w:val="18"/>
        </w:rPr>
        <w:t>: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 xml:space="preserve">проживание; 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eastAsia="Tahoma" w:hAnsi="Tahoma"/>
          <w:color w:val="000000"/>
          <w:sz w:val="18"/>
          <w:szCs w:val="18"/>
        </w:rPr>
        <w:t xml:space="preserve">завтрак; 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  <w:lang w:val="en-US"/>
        </w:rPr>
        <w:t>Wi</w:t>
      </w:r>
      <w:r>
        <w:rPr>
          <w:rFonts w:ascii="Tahoma" w:cs="Tahoma" w:hAnsi="Tahoma"/>
          <w:sz w:val="18"/>
          <w:szCs w:val="18"/>
        </w:rPr>
        <w:t>-</w:t>
      </w:r>
      <w:r>
        <w:rPr>
          <w:rFonts w:ascii="Tahoma" w:cs="Tahoma" w:hAnsi="Tahoma"/>
          <w:sz w:val="18"/>
          <w:szCs w:val="18"/>
          <w:lang w:val="en-US"/>
        </w:rPr>
        <w:t>Fi</w:t>
      </w:r>
      <w:r>
        <w:rPr>
          <w:rFonts w:ascii="Tahoma" w:cs="Tahoma" w:hAnsi="Tahoma"/>
          <w:sz w:val="18"/>
          <w:szCs w:val="18"/>
        </w:rPr>
        <w:t xml:space="preserve"> интернет на всей территории отеля</w:t>
      </w:r>
    </w:p>
    <w:p>
      <w:pPr>
        <w:pStyle w:val="style0"/>
      </w:pPr>
      <w:r>
        <w:rPr>
          <w:rFonts w:ascii="Tahoma" w:cs="Tahoma" w:hAnsi="Tahoma"/>
          <w:b/>
          <w:sz w:val="20"/>
          <w:szCs w:val="20"/>
        </w:rPr>
        <w:t>Стоимость за человека в сутки, руб.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right w:color="00000A" w:space="0" w:sz="4" w:val="single"/>
        </w:tblBorders>
      </w:tblPr>
      <w:tblGrid>
        <w:gridCol w:w="3238"/>
        <w:gridCol w:w="807"/>
        <w:gridCol w:w="1220"/>
        <w:gridCol w:w="832"/>
        <w:gridCol w:w="785"/>
        <w:gridCol w:w="730"/>
        <w:gridCol w:w="730"/>
        <w:gridCol w:w="731"/>
        <w:gridCol w:w="730"/>
        <w:gridCol w:w="730"/>
        <w:gridCol w:w="737"/>
      </w:tblGrid>
      <w:tr>
        <w:trPr>
          <w:trHeight w:hRule="atLeast" w:val="471"/>
          <w:cantSplit w:val="false"/>
        </w:trPr>
        <w:tc>
          <w:tcPr>
            <w:tcW w:type="dxa" w:w="3238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1440" w:val="left"/>
                <w:tab w:leader="none" w:pos="1755" w:val="left"/>
              </w:tabs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20"/>
                <w:szCs w:val="20"/>
                <w:lang w:eastAsia="ru-RU"/>
              </w:rPr>
              <w:t>КАТЕГОРИЯ НОМЕРА</w:t>
            </w:r>
          </w:p>
        </w:tc>
        <w:tc>
          <w:tcPr>
            <w:tcW w:type="dxa" w:w="807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6"/>
                <w:szCs w:val="16"/>
                <w:lang w:eastAsia="ru-RU"/>
              </w:rPr>
              <w:t>Корпус</w:t>
            </w:r>
          </w:p>
        </w:tc>
        <w:tc>
          <w:tcPr>
            <w:tcW w:type="dxa" w:w="122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Кол-во мест</w:t>
            </w:r>
          </w:p>
        </w:tc>
        <w:tc>
          <w:tcPr>
            <w:tcW w:type="dxa" w:w="832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Разме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щение</w:t>
            </w:r>
          </w:p>
        </w:tc>
        <w:tc>
          <w:tcPr>
            <w:tcW w:type="dxa" w:w="785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01.06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11.06</w:t>
            </w:r>
          </w:p>
        </w:tc>
        <w:tc>
          <w:tcPr>
            <w:tcW w:type="dxa" w:w="730"/>
            <w:vMerge w:val="restart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12.06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03.07</w:t>
            </w:r>
          </w:p>
        </w:tc>
        <w:tc>
          <w:tcPr>
            <w:tcW w:type="dxa" w:w="730"/>
            <w:vMerge w:val="restart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04.07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20.08</w:t>
            </w:r>
          </w:p>
        </w:tc>
        <w:tc>
          <w:tcPr>
            <w:tcW w:type="dxa" w:w="731"/>
            <w:vMerge w:val="restart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21.08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24.09</w:t>
            </w:r>
          </w:p>
        </w:tc>
        <w:tc>
          <w:tcPr>
            <w:tcW w:type="dxa" w:w="730"/>
            <w:vMerge w:val="restart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25.09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30.09</w:t>
            </w:r>
          </w:p>
        </w:tc>
        <w:tc>
          <w:tcPr>
            <w:tcW w:type="dxa" w:w="730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01.10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31.10</w:t>
            </w:r>
          </w:p>
        </w:tc>
        <w:tc>
          <w:tcPr>
            <w:tcW w:type="dxa" w:w="737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01.11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 w:val="en-US"/>
              </w:rPr>
              <w:t>30.12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3238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07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5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осн.</w:t>
            </w:r>
          </w:p>
        </w:tc>
        <w:tc>
          <w:tcPr>
            <w:tcW w:type="dxa" w:w="6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  <w:t>доп.</w:t>
            </w:r>
          </w:p>
        </w:tc>
        <w:tc>
          <w:tcPr>
            <w:tcW w:type="dxa" w:w="832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85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30"/>
            <w:vMerge w:val="continue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30"/>
            <w:vMerge w:val="continue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31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30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30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type="dxa" w:w="737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rPr>
          <w:trHeight w:hRule="atLeast" w:val="438"/>
          <w:cantSplit w:val="false"/>
        </w:trPr>
        <w:tc>
          <w:tcPr>
            <w:tcW w:type="dxa" w:w="3238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Стандарт 2-х местный</w:t>
            </w:r>
          </w:p>
        </w:tc>
        <w:tc>
          <w:tcPr>
            <w:tcW w:type="dxa" w:w="807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type="dxa" w:w="595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625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785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1550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1800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2200</w:t>
            </w:r>
          </w:p>
        </w:tc>
        <w:tc>
          <w:tcPr>
            <w:tcW w:type="dxa" w:w="73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2000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1600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  <w:tc>
          <w:tcPr>
            <w:tcW w:type="dxa" w:w="73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</w:tr>
      <w:tr>
        <w:trPr>
          <w:trHeight w:hRule="atLeast" w:val="414"/>
          <w:cantSplit w:val="false"/>
        </w:trPr>
        <w:tc>
          <w:tcPr>
            <w:tcW w:type="dxa" w:w="3238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07"/>
            <w:vMerge w:val="continue"/>
            <w:tcBorders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595"/>
            <w:vMerge w:val="continue"/>
            <w:tcBorders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25"/>
            <w:vMerge w:val="continue"/>
            <w:tcBorders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85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2100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2600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3200</w:t>
            </w:r>
          </w:p>
        </w:tc>
        <w:tc>
          <w:tcPr>
            <w:tcW w:type="dxa" w:w="73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3000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2400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  <w:tc>
          <w:tcPr>
            <w:tcW w:type="dxa" w:w="73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1500</w:t>
            </w:r>
          </w:p>
        </w:tc>
      </w:tr>
      <w:tr>
        <w:trPr>
          <w:trHeight w:hRule="atLeast" w:val="554"/>
          <w:cantSplit w:val="false"/>
        </w:trPr>
        <w:tc>
          <w:tcPr>
            <w:tcW w:type="dxa" w:w="32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 xml:space="preserve">Стандарт семейный </w:t>
            </w:r>
          </w:p>
        </w:tc>
        <w:tc>
          <w:tcPr>
            <w:tcW w:type="dxa" w:w="807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595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625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32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осн.</w:t>
            </w:r>
          </w:p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type="dxa" w:w="785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1500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1700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1950</w:t>
            </w:r>
          </w:p>
        </w:tc>
        <w:tc>
          <w:tcPr>
            <w:tcW w:type="dxa" w:w="731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1700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1350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1000</w:t>
            </w:r>
          </w:p>
        </w:tc>
        <w:tc>
          <w:tcPr>
            <w:tcW w:type="dxa" w:w="73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900</w:t>
            </w:r>
          </w:p>
        </w:tc>
      </w:tr>
      <w:tr>
        <w:trPr>
          <w:trHeight w:hRule="atLeast" w:val="651"/>
          <w:cantSplit w:val="false"/>
        </w:trPr>
        <w:tc>
          <w:tcPr>
            <w:tcW w:type="dxa" w:w="3238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Стандарт семейный плюс</w:t>
            </w:r>
          </w:p>
        </w:tc>
        <w:tc>
          <w:tcPr>
            <w:tcW w:type="dxa" w:w="807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595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625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32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осн.</w:t>
            </w:r>
          </w:p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type="dxa" w:w="785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 xml:space="preserve">  </w:t>
            </w: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1300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1500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1800</w:t>
            </w:r>
          </w:p>
        </w:tc>
        <w:tc>
          <w:tcPr>
            <w:tcW w:type="dxa" w:w="731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1500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1300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800</w:t>
            </w:r>
          </w:p>
        </w:tc>
        <w:tc>
          <w:tcPr>
            <w:tcW w:type="dxa" w:w="73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800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3238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Студио</w:t>
            </w:r>
            <w:r>
              <w:rPr>
                <w:rFonts w:ascii="Tahoma" w:cs="Tahoma" w:eastAsia="Times New Roman" w:hAnsi="Tahoma"/>
                <w:sz w:val="20"/>
                <w:szCs w:val="20"/>
                <w:lang w:eastAsia="ru-RU" w:val="en-US"/>
              </w:rPr>
              <w:t xml:space="preserve">            </w:t>
            </w:r>
          </w:p>
        </w:tc>
        <w:tc>
          <w:tcPr>
            <w:tcW w:type="dxa" w:w="807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595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625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32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785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1700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2100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2500</w:t>
            </w:r>
          </w:p>
        </w:tc>
        <w:tc>
          <w:tcPr>
            <w:tcW w:type="dxa" w:w="731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2200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2000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1200</w:t>
            </w:r>
          </w:p>
        </w:tc>
        <w:tc>
          <w:tcPr>
            <w:tcW w:type="dxa" w:w="73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3238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07"/>
            <w:vMerge w:val="continue"/>
            <w:tcBorders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595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25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32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85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2400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3150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3900</w:t>
            </w:r>
          </w:p>
        </w:tc>
        <w:tc>
          <w:tcPr>
            <w:tcW w:type="dxa" w:w="731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3600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3000</w:t>
            </w:r>
          </w:p>
        </w:tc>
        <w:tc>
          <w:tcPr>
            <w:tcW w:type="dxa" w:w="730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1700</w:t>
            </w:r>
          </w:p>
        </w:tc>
        <w:tc>
          <w:tcPr>
            <w:tcW w:type="dxa" w:w="737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3238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Студио романтик</w:t>
            </w:r>
          </w:p>
        </w:tc>
        <w:tc>
          <w:tcPr>
            <w:tcW w:type="dxa" w:w="807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595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625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8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7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1700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2100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2500</w:t>
            </w:r>
          </w:p>
        </w:tc>
        <w:tc>
          <w:tcPr>
            <w:tcW w:type="dxa" w:w="73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2200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2000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1200</w:t>
            </w:r>
          </w:p>
        </w:tc>
        <w:tc>
          <w:tcPr>
            <w:tcW w:type="dxa" w:w="7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3238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07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595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25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2400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3150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3900</w:t>
            </w:r>
          </w:p>
        </w:tc>
        <w:tc>
          <w:tcPr>
            <w:tcW w:type="dxa" w:w="73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3600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3000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1700</w:t>
            </w:r>
          </w:p>
        </w:tc>
        <w:tc>
          <w:tcPr>
            <w:tcW w:type="dxa" w:w="7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3238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Стандарт 2-комн.</w:t>
            </w:r>
          </w:p>
        </w:tc>
        <w:tc>
          <w:tcPr>
            <w:tcW w:type="dxa" w:w="807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595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625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8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7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1800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2300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2700</w:t>
            </w:r>
          </w:p>
        </w:tc>
        <w:tc>
          <w:tcPr>
            <w:tcW w:type="dxa" w:w="73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2400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2200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1200</w:t>
            </w:r>
          </w:p>
        </w:tc>
        <w:tc>
          <w:tcPr>
            <w:tcW w:type="dxa" w:w="7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1100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3238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07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595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25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2600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3400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4000</w:t>
            </w:r>
          </w:p>
        </w:tc>
        <w:tc>
          <w:tcPr>
            <w:tcW w:type="dxa" w:w="73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3700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3400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1700</w:t>
            </w:r>
          </w:p>
        </w:tc>
        <w:tc>
          <w:tcPr>
            <w:tcW w:type="dxa" w:w="7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1600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3238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Люкс 2-комн. с кухней</w:t>
            </w:r>
          </w:p>
        </w:tc>
        <w:tc>
          <w:tcPr>
            <w:tcW w:type="dxa" w:w="807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type="dxa" w:w="595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625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8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7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1950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2500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2900</w:t>
            </w:r>
          </w:p>
        </w:tc>
        <w:tc>
          <w:tcPr>
            <w:tcW w:type="dxa" w:w="73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2700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2400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1400</w:t>
            </w:r>
          </w:p>
        </w:tc>
        <w:tc>
          <w:tcPr>
            <w:tcW w:type="dxa" w:w="7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1200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3238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07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595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25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3100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4000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4800</w:t>
            </w:r>
          </w:p>
        </w:tc>
        <w:tc>
          <w:tcPr>
            <w:tcW w:type="dxa" w:w="73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4100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3800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1900</w:t>
            </w:r>
          </w:p>
        </w:tc>
        <w:tc>
          <w:tcPr>
            <w:tcW w:type="dxa" w:w="7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1700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3238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  <w:t>Люкс 2-комн.с сауной и джакузи</w:t>
            </w:r>
          </w:p>
        </w:tc>
        <w:tc>
          <w:tcPr>
            <w:tcW w:type="dxa" w:w="807"/>
            <w:vMerge w:val="restart"/>
            <w:tcBorders>
              <w:top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595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625"/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8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DBL</w:t>
            </w:r>
          </w:p>
        </w:tc>
        <w:tc>
          <w:tcPr>
            <w:tcW w:type="dxa" w:w="7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2500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2950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3300</w:t>
            </w:r>
          </w:p>
        </w:tc>
        <w:tc>
          <w:tcPr>
            <w:tcW w:type="dxa" w:w="73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3000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2750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1700</w:t>
            </w:r>
          </w:p>
        </w:tc>
        <w:tc>
          <w:tcPr>
            <w:tcW w:type="dxa" w:w="7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1300</w:t>
            </w:r>
          </w:p>
        </w:tc>
      </w:tr>
      <w:tr>
        <w:trPr>
          <w:trHeight w:hRule="atLeast" w:val="471"/>
          <w:cantSplit w:val="false"/>
        </w:trPr>
        <w:tc>
          <w:tcPr>
            <w:tcW w:type="dxa" w:w="3238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</w:pPr>
            <w:r>
              <w:rPr>
                <w:rFonts w:ascii="Tahoma" w:cs="Tahoma" w:eastAsia="Times New Roman" w:hAnsi="Tahoma"/>
                <w:sz w:val="20"/>
                <w:szCs w:val="20"/>
                <w:lang w:eastAsia="ru-RU"/>
              </w:rPr>
            </w:r>
          </w:p>
        </w:tc>
        <w:tc>
          <w:tcPr>
            <w:tcW w:type="dxa" w:w="807"/>
            <w:vMerge w:val="continue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595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625"/>
            <w:vMerge w:val="continue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8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18"/>
                <w:szCs w:val="18"/>
                <w:lang w:eastAsia="ru-RU" w:val="en-US"/>
              </w:rPr>
              <w:t>SGL</w:t>
            </w:r>
          </w:p>
          <w:p>
            <w:pPr>
              <w:pStyle w:val="style0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/>
              </w:rPr>
            </w:r>
          </w:p>
        </w:tc>
        <w:tc>
          <w:tcPr>
            <w:tcW w:type="dxa" w:w="7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4000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4450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5600</w:t>
            </w:r>
          </w:p>
        </w:tc>
        <w:tc>
          <w:tcPr>
            <w:tcW w:type="dxa" w:w="731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4900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bookmarkStart w:id="0" w:name="_GoBack"/>
            <w:bookmarkEnd w:id="0"/>
            <w:r>
              <w:rPr>
                <w:rFonts w:ascii="Tahoma" w:cs="Tahoma" w:eastAsia="Times New Roman" w:hAnsi="Tahoma"/>
                <w:bCs/>
                <w:sz w:val="20"/>
                <w:szCs w:val="20"/>
                <w:shd w:fill="FFFF00" w:val="clear"/>
                <w:lang w:eastAsia="ru-RU" w:val="en-US"/>
              </w:rPr>
              <w:t>4600</w:t>
            </w:r>
          </w:p>
        </w:tc>
        <w:tc>
          <w:tcPr>
            <w:tcW w:type="dxa" w:w="730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2300</w:t>
            </w:r>
          </w:p>
        </w:tc>
        <w:tc>
          <w:tcPr>
            <w:tcW w:type="dxa" w:w="7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/>
              <w:suppressAutoHyphens w:val="false"/>
              <w:jc w:val="center"/>
            </w:pPr>
            <w:r>
              <w:rPr>
                <w:rFonts w:ascii="Tahoma" w:cs="Tahoma" w:eastAsia="Times New Roman" w:hAnsi="Tahoma"/>
                <w:bCs/>
                <w:sz w:val="20"/>
                <w:szCs w:val="20"/>
                <w:lang w:eastAsia="ru-RU" w:val="en-US"/>
              </w:rPr>
              <w:t>1800</w:t>
            </w:r>
          </w:p>
        </w:tc>
      </w:tr>
    </w:tbl>
    <w:p>
      <w:pPr>
        <w:pStyle w:val="style0"/>
        <w:tabs>
          <w:tab w:leader="none" w:pos="6105" w:val="left"/>
        </w:tabs>
      </w:pPr>
      <w:r>
        <w:rPr>
          <w:rFonts w:ascii="Tahoma" w:cs="Tahoma" w:hAnsi="Tahoma"/>
          <w:b/>
          <w:bCs/>
          <w:sz w:val="20"/>
          <w:szCs w:val="20"/>
        </w:rPr>
      </w:r>
    </w:p>
    <w:p>
      <w:pPr>
        <w:pStyle w:val="style0"/>
        <w:ind w:hanging="0" w:left="1134" w:right="0"/>
      </w:pPr>
      <w:r>
        <w:rPr>
          <w:rFonts w:ascii="Tahoma" w:cs="Tahoma" w:hAnsi="Tahoma"/>
          <w:b/>
          <w:iCs/>
          <w:sz w:val="18"/>
          <w:szCs w:val="18"/>
        </w:rPr>
        <w:t xml:space="preserve">      </w:t>
      </w:r>
      <w:r>
        <w:rPr>
          <w:rFonts w:ascii="Tahoma" w:cs="Tahoma" w:hAnsi="Tahoma"/>
          <w:b/>
          <w:iCs/>
          <w:sz w:val="18"/>
          <w:szCs w:val="18"/>
          <w:lang w:val="en-US"/>
        </w:rPr>
        <w:t>SGL</w:t>
      </w:r>
      <w:r>
        <w:rPr>
          <w:rFonts w:ascii="Tahoma" w:cs="Tahoma" w:hAnsi="Tahoma"/>
          <w:b/>
          <w:iCs/>
          <w:sz w:val="18"/>
          <w:szCs w:val="18"/>
        </w:rPr>
        <w:t xml:space="preserve"> – одноместное размещение, </w:t>
      </w:r>
      <w:r>
        <w:rPr>
          <w:rFonts w:ascii="Tahoma" w:cs="Tahoma" w:hAnsi="Tahoma"/>
          <w:b/>
          <w:iCs/>
          <w:sz w:val="18"/>
          <w:szCs w:val="18"/>
          <w:lang w:val="en-US"/>
        </w:rPr>
        <w:t>DBL</w:t>
      </w:r>
      <w:r>
        <w:rPr>
          <w:rFonts w:ascii="Tahoma" w:cs="Tahoma" w:hAnsi="Tahoma"/>
          <w:b/>
          <w:iCs/>
          <w:sz w:val="18"/>
          <w:szCs w:val="18"/>
        </w:rPr>
        <w:t xml:space="preserve"> – двухместное размещение.</w:t>
      </w:r>
    </w:p>
    <w:p>
      <w:pPr>
        <w:pStyle w:val="style0"/>
        <w:numPr>
          <w:ilvl w:val="0"/>
          <w:numId w:val="1"/>
        </w:numPr>
        <w:ind w:firstLine="1247" w:left="-113" w:right="0"/>
      </w:pPr>
      <w:r>
        <w:rPr>
          <w:rFonts w:ascii="Tahoma" w:cs="Tahoma" w:hAnsi="Tahoma"/>
          <w:b/>
          <w:iCs/>
          <w:sz w:val="18"/>
          <w:szCs w:val="18"/>
        </w:rPr>
        <w:t xml:space="preserve">Для детей до 4 лет без предоставления места размещение и питание бесплатно весь сезон! </w:t>
      </w:r>
    </w:p>
    <w:p>
      <w:pPr>
        <w:pStyle w:val="style0"/>
        <w:numPr>
          <w:ilvl w:val="0"/>
          <w:numId w:val="1"/>
        </w:numPr>
        <w:ind w:hanging="284" w:left="1418" w:right="0"/>
      </w:pPr>
      <w:r>
        <w:rPr>
          <w:rFonts w:ascii="Tahoma" w:cs="Tahoma" w:hAnsi="Tahoma"/>
          <w:iCs/>
          <w:sz w:val="18"/>
          <w:szCs w:val="18"/>
        </w:rPr>
        <w:t>При размещении детей до 12 лет включительно на основном месте предоставляется скидка 20% от цены размещения на основном месте</w:t>
      </w:r>
    </w:p>
    <w:p>
      <w:pPr>
        <w:pStyle w:val="style0"/>
        <w:numPr>
          <w:ilvl w:val="0"/>
          <w:numId w:val="1"/>
        </w:numPr>
        <w:ind w:hanging="284" w:left="1418" w:right="0"/>
      </w:pPr>
      <w:r>
        <w:rPr>
          <w:rFonts w:ascii="Tahoma" w:cs="Tahoma" w:hAnsi="Tahoma"/>
          <w:iCs/>
          <w:sz w:val="18"/>
          <w:szCs w:val="18"/>
        </w:rPr>
        <w:t>При размещении взрослого на доп. месте предоставляется скидка 30% от цены размещения на основном месте.</w:t>
      </w:r>
    </w:p>
    <w:p>
      <w:pPr>
        <w:pStyle w:val="style0"/>
        <w:numPr>
          <w:ilvl w:val="0"/>
          <w:numId w:val="1"/>
        </w:numPr>
        <w:ind w:hanging="284" w:left="1418" w:right="0"/>
      </w:pPr>
      <w:r>
        <w:rPr>
          <w:rFonts w:ascii="Tahoma" w:cs="Tahoma" w:hAnsi="Tahoma"/>
          <w:iCs/>
          <w:sz w:val="18"/>
          <w:szCs w:val="18"/>
        </w:rPr>
        <w:t>При размещении детей до 12 лет включительно  на дополнительном месте предоставляется скидка 50% от цены размещения на основном месте.</w:t>
        <w:tab/>
      </w:r>
    </w:p>
    <w:p>
      <w:pPr>
        <w:pStyle w:val="style0"/>
        <w:ind w:hanging="0" w:left="1418" w:right="0"/>
      </w:pPr>
      <w:r>
        <w:rPr>
          <w:rFonts w:ascii="Tahoma" w:cs="Tahoma" w:hAnsi="Tahoma"/>
          <w:iCs/>
          <w:sz w:val="18"/>
          <w:szCs w:val="18"/>
        </w:rPr>
      </w:r>
    </w:p>
    <w:p>
      <w:pPr>
        <w:pStyle w:val="style0"/>
        <w:ind w:firstLine="1247" w:left="-113" w:right="0"/>
      </w:pPr>
      <w:r>
        <w:rPr>
          <w:rFonts w:ascii="Tahoma" w:cs="Tahoma" w:hAnsi="Tahoma"/>
          <w:b/>
          <w:sz w:val="18"/>
          <w:szCs w:val="18"/>
        </w:rPr>
        <w:t>Услуги, входящие в стоимость</w:t>
      </w:r>
      <w:r>
        <w:rPr>
          <w:rFonts w:ascii="Tahoma" w:cs="Tahoma" w:hAnsi="Tahoma"/>
          <w:sz w:val="18"/>
          <w:szCs w:val="18"/>
        </w:rPr>
        <w:t>: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 xml:space="preserve">проживание; 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eastAsia="Tahoma" w:hAnsi="Tahoma"/>
          <w:color w:val="000000"/>
          <w:sz w:val="18"/>
          <w:szCs w:val="18"/>
        </w:rPr>
        <w:t xml:space="preserve">завтрак; 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  <w:lang w:val="en-US"/>
        </w:rPr>
        <w:t>Wi</w:t>
      </w:r>
      <w:r>
        <w:rPr>
          <w:rFonts w:ascii="Tahoma" w:cs="Tahoma" w:hAnsi="Tahoma"/>
          <w:sz w:val="18"/>
          <w:szCs w:val="18"/>
        </w:rPr>
        <w:t>-</w:t>
      </w:r>
      <w:r>
        <w:rPr>
          <w:rFonts w:ascii="Tahoma" w:cs="Tahoma" w:hAnsi="Tahoma"/>
          <w:sz w:val="18"/>
          <w:szCs w:val="18"/>
          <w:lang w:val="en-US"/>
        </w:rPr>
        <w:t>Fi</w:t>
      </w:r>
      <w:r>
        <w:rPr>
          <w:rFonts w:ascii="Tahoma" w:cs="Tahoma" w:hAnsi="Tahoma"/>
          <w:sz w:val="18"/>
          <w:szCs w:val="18"/>
        </w:rPr>
        <w:t xml:space="preserve"> интернет на всей территории отеля;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>3-х разовое комплексное питание с 01.06 по 11.06 и с 15.09 по 30.09;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>3-х разовое питание по системе «Шведский стол» с 12.06 по 14.09;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>пользование открытым бассейном;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>анимация для детей и взрослых с 10.06 по 10.09;</w:t>
      </w:r>
    </w:p>
    <w:p>
      <w:pPr>
        <w:pStyle w:val="style0"/>
        <w:tabs>
          <w:tab w:leader="none" w:pos="2552" w:val="left"/>
        </w:tabs>
        <w:ind w:hanging="0" w:left="1134" w:right="0"/>
        <w:jc w:val="both"/>
      </w:pPr>
      <w:r>
        <w:rPr>
          <w:rFonts w:ascii="Tahoma" w:cs="Tahoma" w:hAnsi="Tahoma"/>
          <w:sz w:val="18"/>
          <w:szCs w:val="18"/>
        </w:rPr>
      </w:r>
    </w:p>
    <w:p>
      <w:pPr>
        <w:pStyle w:val="style0"/>
        <w:tabs>
          <w:tab w:leader="none" w:pos="6105" w:val="left"/>
        </w:tabs>
      </w:pPr>
      <w:r>
        <w:rPr>
          <w:rFonts w:ascii="Tahoma" w:cs="Tahoma" w:hAnsi="Tahoma"/>
          <w:b/>
          <w:bCs/>
          <w:sz w:val="20"/>
          <w:szCs w:val="20"/>
        </w:rPr>
      </w:r>
    </w:p>
    <w:p>
      <w:pPr>
        <w:pStyle w:val="style0"/>
        <w:ind w:firstLine="1247" w:left="-113" w:right="0"/>
      </w:pPr>
      <w:r>
        <w:rPr>
          <w:rFonts w:ascii="Tahoma" w:cs="Tahoma" w:hAnsi="Tahoma"/>
          <w:b/>
          <w:sz w:val="18"/>
          <w:szCs w:val="18"/>
        </w:rPr>
        <w:t>Услуги</w:t>
      </w:r>
      <w:r>
        <w:rPr>
          <w:rFonts w:ascii="Tahoma" w:cs="Tahoma" w:hAnsi="Tahoma"/>
          <w:b/>
          <w:sz w:val="18"/>
          <w:szCs w:val="18"/>
          <w:lang w:val="en-US"/>
        </w:rPr>
        <w:t xml:space="preserve"> </w:t>
      </w:r>
      <w:r>
        <w:rPr>
          <w:rFonts w:ascii="Tahoma" w:cs="Tahoma" w:hAnsi="Tahoma"/>
          <w:b/>
          <w:sz w:val="18"/>
          <w:szCs w:val="18"/>
        </w:rPr>
        <w:t>за дополнительную плату</w:t>
      </w:r>
      <w:r>
        <w:rPr>
          <w:rFonts w:ascii="Tahoma" w:cs="Tahoma" w:hAnsi="Tahoma"/>
          <w:sz w:val="18"/>
          <w:szCs w:val="18"/>
        </w:rPr>
        <w:t>: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 xml:space="preserve">поздний выезд; 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eastAsia="Tahoma" w:hAnsi="Tahoma"/>
          <w:color w:val="000000"/>
          <w:sz w:val="18"/>
          <w:szCs w:val="18"/>
        </w:rPr>
        <w:t xml:space="preserve">трансфер; 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>экскурсии;</w:t>
      </w:r>
    </w:p>
    <w:p>
      <w:pPr>
        <w:pStyle w:val="style0"/>
        <w:numPr>
          <w:ilvl w:val="0"/>
          <w:numId w:val="2"/>
        </w:numPr>
        <w:tabs>
          <w:tab w:leader="none" w:pos="1418" w:val="left"/>
        </w:tabs>
        <w:ind w:firstLine="54" w:left="0" w:right="0"/>
        <w:jc w:val="both"/>
      </w:pPr>
      <w:r>
        <w:rPr>
          <w:rFonts w:ascii="Tahoma" w:cs="Tahoma" w:hAnsi="Tahoma"/>
          <w:sz w:val="18"/>
          <w:szCs w:val="18"/>
        </w:rPr>
        <w:t>стирка одежды</w:t>
      </w:r>
    </w:p>
    <w:p>
      <w:pPr>
        <w:pStyle w:val="style0"/>
        <w:tabs>
          <w:tab w:leader="none" w:pos="1418" w:val="left"/>
        </w:tabs>
        <w:jc w:val="both"/>
      </w:pPr>
      <w:r>
        <w:rPr>
          <w:rFonts w:ascii="Tahoma" w:cs="Tahoma" w:hAnsi="Tahoma"/>
          <w:sz w:val="18"/>
          <w:szCs w:val="18"/>
        </w:rPr>
      </w:r>
    </w:p>
    <w:p>
      <w:pPr>
        <w:pStyle w:val="style0"/>
        <w:tabs>
          <w:tab w:leader="none" w:pos="1418" w:val="left"/>
        </w:tabs>
        <w:jc w:val="center"/>
      </w:pPr>
      <w:r>
        <w:rPr>
          <w:rFonts w:ascii="Tahoma" w:cs="Tahoma" w:hAnsi="Tahoma"/>
          <w:b/>
          <w:sz w:val="20"/>
          <w:szCs w:val="18"/>
        </w:rPr>
      </w:r>
    </w:p>
    <w:p>
      <w:pPr>
        <w:pStyle w:val="style0"/>
        <w:tabs>
          <w:tab w:leader="none" w:pos="1418" w:val="left"/>
        </w:tabs>
        <w:jc w:val="center"/>
      </w:pPr>
      <w:r>
        <w:rPr>
          <w:rFonts w:ascii="Tahoma" w:cs="Tahoma" w:hAnsi="Tahoma"/>
          <w:b/>
          <w:sz w:val="20"/>
          <w:szCs w:val="18"/>
        </w:rPr>
      </w:r>
    </w:p>
    <w:p>
      <w:pPr>
        <w:pStyle w:val="style0"/>
        <w:tabs>
          <w:tab w:leader="none" w:pos="1418" w:val="left"/>
        </w:tabs>
        <w:jc w:val="center"/>
      </w:pPr>
      <w:r>
        <w:rPr>
          <w:rFonts w:ascii="Tahoma" w:cs="Tahoma" w:hAnsi="Tahoma"/>
          <w:b/>
          <w:sz w:val="20"/>
          <w:szCs w:val="18"/>
        </w:rPr>
      </w:r>
    </w:p>
    <w:p>
      <w:pPr>
        <w:pStyle w:val="style0"/>
        <w:tabs>
          <w:tab w:leader="none" w:pos="1418" w:val="left"/>
        </w:tabs>
        <w:jc w:val="center"/>
      </w:pPr>
      <w:r>
        <w:rPr>
          <w:rFonts w:ascii="Tahoma" w:cs="Tahoma" w:hAnsi="Tahoma"/>
          <w:b/>
          <w:sz w:val="20"/>
          <w:szCs w:val="18"/>
        </w:rPr>
      </w:r>
    </w:p>
    <w:p>
      <w:pPr>
        <w:pStyle w:val="style0"/>
        <w:tabs>
          <w:tab w:leader="none" w:pos="1418" w:val="left"/>
        </w:tabs>
        <w:jc w:val="center"/>
      </w:pPr>
      <w:r>
        <w:rPr>
          <w:rFonts w:ascii="Tahoma" w:cs="Tahoma" w:hAnsi="Tahoma"/>
          <w:b/>
          <w:sz w:val="22"/>
          <w:szCs w:val="18"/>
        </w:rPr>
      </w:r>
    </w:p>
    <w:p>
      <w:pPr>
        <w:pStyle w:val="style0"/>
        <w:tabs>
          <w:tab w:leader="none" w:pos="1418" w:val="left"/>
        </w:tabs>
        <w:jc w:val="center"/>
      </w:pPr>
      <w:r>
        <w:rPr>
          <w:rFonts w:ascii="Tahoma" w:cs="Tahoma" w:hAnsi="Tahoma"/>
          <w:b/>
          <w:sz w:val="22"/>
          <w:szCs w:val="18"/>
        </w:rPr>
        <w:t>Звоните и бронируйте</w:t>
      </w:r>
      <w:r>
        <w:rPr>
          <w:rFonts w:ascii="Tahoma" w:cs="Tahoma" w:hAnsi="Tahoma"/>
          <w:b/>
          <w:sz w:val="20"/>
          <w:szCs w:val="18"/>
        </w:rPr>
        <w:t>!</w:t>
      </w:r>
    </w:p>
    <w:p>
      <w:pPr>
        <w:pStyle w:val="style0"/>
        <w:tabs>
          <w:tab w:leader="none" w:pos="1418" w:val="left"/>
        </w:tabs>
        <w:jc w:val="both"/>
      </w:pPr>
      <w:r>
        <w:rPr>
          <w:rFonts w:ascii="Tahoma" w:cs="Tahoma" w:hAnsi="Tahoma"/>
          <w:sz w:val="20"/>
          <w:szCs w:val="18"/>
        </w:rPr>
      </w:r>
    </w:p>
    <w:p>
      <w:pPr>
        <w:pStyle w:val="style0"/>
        <w:tabs>
          <w:tab w:leader="none" w:pos="1418" w:val="left"/>
        </w:tabs>
        <w:jc w:val="both"/>
      </w:pPr>
      <w:r>
        <w:rPr>
          <w:rFonts w:ascii="Tahoma" w:cs="Tahoma" w:hAnsi="Tahoma"/>
          <w:sz w:val="20"/>
          <w:szCs w:val="18"/>
        </w:rPr>
      </w:r>
    </w:p>
    <w:p>
      <w:pPr>
        <w:pStyle w:val="style0"/>
        <w:tabs>
          <w:tab w:leader="none" w:pos="1418" w:val="left"/>
        </w:tabs>
        <w:jc w:val="both"/>
      </w:pPr>
      <w:r>
        <w:rPr>
          <w:rFonts w:ascii="Tahoma" w:cs="Tahoma" w:hAnsi="Tahoma"/>
          <w:sz w:val="20"/>
          <w:szCs w:val="18"/>
        </w:rPr>
      </w:r>
    </w:p>
    <w:p>
      <w:pPr>
        <w:pStyle w:val="style0"/>
        <w:tabs>
          <w:tab w:leader="none" w:pos="1418" w:val="left"/>
        </w:tabs>
        <w:jc w:val="both"/>
      </w:pPr>
      <w:r>
        <w:rPr>
          <w:rFonts w:ascii="Tahoma" w:cs="Tahoma" w:hAnsi="Tahoma"/>
          <w:b/>
          <w:sz w:val="20"/>
          <w:szCs w:val="18"/>
        </w:rPr>
        <w:t>Тел. Бронирования 8 918 681 32 84</w:t>
      </w:r>
    </w:p>
    <w:p>
      <w:pPr>
        <w:pStyle w:val="style0"/>
        <w:tabs>
          <w:tab w:leader="none" w:pos="6105" w:val="left"/>
        </w:tabs>
      </w:pPr>
      <w:r>
        <w:rPr/>
      </w:r>
    </w:p>
    <w:sectPr>
      <w:type w:val="nextPage"/>
      <w:pgSz w:h="16838" w:w="11906"/>
      <w:pgMar w:bottom="232" w:footer="0" w:gutter="0" w:header="0" w:left="425" w:right="424" w:top="22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Wingdings">
    <w:charset w:val="02"/>
    <w:family w:val="auto"/>
    <w:pitch w:val="default"/>
  </w:font>
  <w:font w:name="Courier New">
    <w:charset w:val="80"/>
    <w:family w:val="modern"/>
    <w:pitch w:val="fixed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"/>
      <w:lvlJc w:val="left"/>
      <w:pPr>
        <w:ind w:hanging="360" w:left="1425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2145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865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585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305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5025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745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465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185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ind w:hanging="360" w:left="108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52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24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68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40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84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Times New Roman" w:eastAsia="Lucida Sans Unicode" w:hAnsi="Times New Roman"/>
      <w:color w:val="auto"/>
      <w:sz w:val="24"/>
      <w:szCs w:val="24"/>
      <w:lang w:bidi="ar-SA" w:eastAsia="ar-SA" w:val="ru-RU"/>
    </w:rPr>
  </w:style>
  <w:style w:styleId="style15" w:type="character">
    <w:name w:val="Default Paragraph Font"/>
    <w:next w:val="style15"/>
    <w:rPr/>
  </w:style>
  <w:style w:styleId="style16" w:type="character">
    <w:name w:val="WW8Num1z0"/>
    <w:next w:val="style16"/>
    <w:rPr>
      <w:rFonts w:ascii="Wingdings" w:hAnsi="Wingdings"/>
    </w:rPr>
  </w:style>
  <w:style w:styleId="style17" w:type="character">
    <w:name w:val="WW8Num2z0"/>
    <w:next w:val="style17"/>
    <w:rPr>
      <w:rFonts w:ascii="Wingdings" w:hAnsi="Wingdings"/>
    </w:rPr>
  </w:style>
  <w:style w:styleId="style18" w:type="character">
    <w:name w:val="Absatz-Standardschriftart"/>
    <w:next w:val="style18"/>
    <w:rPr/>
  </w:style>
  <w:style w:styleId="style19" w:type="character">
    <w:name w:val="WW-Absatz-Standardschriftart"/>
    <w:next w:val="style19"/>
    <w:rPr/>
  </w:style>
  <w:style w:styleId="style20" w:type="character">
    <w:name w:val="WW-Absatz-Standardschriftart1"/>
    <w:next w:val="style20"/>
    <w:rPr/>
  </w:style>
  <w:style w:styleId="style21" w:type="character">
    <w:name w:val="WW-Absatz-Standardschriftart11"/>
    <w:next w:val="style21"/>
    <w:rPr/>
  </w:style>
  <w:style w:styleId="style22" w:type="character">
    <w:name w:val="Основной шрифт абзаца2"/>
    <w:next w:val="style22"/>
    <w:rPr/>
  </w:style>
  <w:style w:styleId="style23" w:type="character">
    <w:name w:val="WW-Absatz-Standardschriftart111"/>
    <w:next w:val="style23"/>
    <w:rPr/>
  </w:style>
  <w:style w:styleId="style24" w:type="character">
    <w:name w:val="WW-Absatz-Standardschriftart1111"/>
    <w:next w:val="style24"/>
    <w:rPr/>
  </w:style>
  <w:style w:styleId="style25" w:type="character">
    <w:name w:val="WW-Absatz-Standardschriftart11111"/>
    <w:next w:val="style25"/>
    <w:rPr/>
  </w:style>
  <w:style w:styleId="style26" w:type="character">
    <w:name w:val="WW-Absatz-Standardschriftart111111"/>
    <w:next w:val="style26"/>
    <w:rPr/>
  </w:style>
  <w:style w:styleId="style27" w:type="character">
    <w:name w:val="WW-Absatz-Standardschriftart1111111"/>
    <w:next w:val="style27"/>
    <w:rPr/>
  </w:style>
  <w:style w:styleId="style28" w:type="character">
    <w:name w:val="Основной шрифт абзаца1"/>
    <w:next w:val="style28"/>
    <w:rPr/>
  </w:style>
  <w:style w:styleId="style29" w:type="character">
    <w:name w:val="WW-Absatz-Standardschriftart11111111"/>
    <w:next w:val="style29"/>
    <w:rPr/>
  </w:style>
  <w:style w:styleId="style30" w:type="character">
    <w:name w:val="WW-Absatz-Standardschriftart111111111"/>
    <w:next w:val="style30"/>
    <w:rPr/>
  </w:style>
  <w:style w:styleId="style31" w:type="character">
    <w:name w:val="WW-Absatz-Standardschriftart1111111111"/>
    <w:next w:val="style31"/>
    <w:rPr/>
  </w:style>
  <w:style w:styleId="style32" w:type="character">
    <w:name w:val="WW8Num2z1"/>
    <w:next w:val="style32"/>
    <w:rPr>
      <w:rFonts w:ascii="Courier New" w:cs="Courier New" w:hAnsi="Courier New"/>
    </w:rPr>
  </w:style>
  <w:style w:styleId="style33" w:type="character">
    <w:name w:val="WW8Num2z3"/>
    <w:next w:val="style33"/>
    <w:rPr>
      <w:rFonts w:ascii="Symbol" w:hAnsi="Symbol"/>
    </w:rPr>
  </w:style>
  <w:style w:styleId="style34" w:type="character">
    <w:name w:val="WW8Num1z1"/>
    <w:next w:val="style34"/>
    <w:rPr>
      <w:rFonts w:ascii="Courier New" w:cs="Courier New" w:hAnsi="Courier New"/>
    </w:rPr>
  </w:style>
  <w:style w:styleId="style35" w:type="character">
    <w:name w:val="WW8Num1z3"/>
    <w:next w:val="style35"/>
    <w:rPr>
      <w:rFonts w:ascii="Symbol" w:hAnsi="Symbol"/>
    </w:rPr>
  </w:style>
  <w:style w:styleId="style36" w:type="character">
    <w:name w:val="Интернет-ссылка"/>
    <w:next w:val="style36"/>
    <w:rPr>
      <w:color w:val="000080"/>
      <w:u w:val="single"/>
      <w:lang w:bidi="ru-RU" w:eastAsia="ru-RU" w:val="ru-RU"/>
    </w:rPr>
  </w:style>
  <w:style w:styleId="style37" w:type="character">
    <w:name w:val="Текст выноски Знак"/>
    <w:next w:val="style37"/>
    <w:rPr>
      <w:rFonts w:ascii="Tahoma" w:cs="Tahoma" w:eastAsia="Lucida Sans Unicode" w:hAnsi="Tahoma"/>
      <w:sz w:val="16"/>
      <w:szCs w:val="16"/>
      <w:lang w:eastAsia="ar-SA"/>
    </w:rPr>
  </w:style>
  <w:style w:styleId="style38" w:type="character">
    <w:name w:val="Верхний колонтитул Знак"/>
    <w:next w:val="style38"/>
    <w:rPr>
      <w:sz w:val="24"/>
      <w:szCs w:val="24"/>
      <w:lang w:eastAsia="ar-SA"/>
    </w:rPr>
  </w:style>
  <w:style w:styleId="style39" w:type="character">
    <w:name w:val="apple-converted-space"/>
    <w:basedOn w:val="style28"/>
    <w:next w:val="style39"/>
    <w:rPr/>
  </w:style>
  <w:style w:styleId="style40" w:type="character">
    <w:name w:val="FollowedHyperlink"/>
    <w:next w:val="style40"/>
    <w:rPr>
      <w:color w:val="800080"/>
      <w:u w:val="single"/>
    </w:rPr>
  </w:style>
  <w:style w:styleId="style41" w:type="character">
    <w:name w:val="ListLabel 1"/>
    <w:next w:val="style41"/>
    <w:rPr>
      <w:rFonts w:cs="Courier New"/>
    </w:rPr>
  </w:style>
  <w:style w:styleId="style42" w:type="paragraph">
    <w:name w:val="Заголовок"/>
    <w:basedOn w:val="style0"/>
    <w:next w:val="style43"/>
    <w:pPr>
      <w:keepNext/>
      <w:spacing w:after="120" w:before="240"/>
    </w:pPr>
    <w:rPr>
      <w:rFonts w:ascii="Arial" w:cs="Tahoma" w:eastAsia="Droid Sans" w:hAnsi="Arial"/>
      <w:sz w:val="28"/>
      <w:szCs w:val="28"/>
    </w:rPr>
  </w:style>
  <w:style w:styleId="style43" w:type="paragraph">
    <w:name w:val="Основной текст"/>
    <w:basedOn w:val="style0"/>
    <w:next w:val="style43"/>
    <w:pPr>
      <w:spacing w:after="120" w:before="0"/>
    </w:pPr>
    <w:rPr/>
  </w:style>
  <w:style w:styleId="style44" w:type="paragraph">
    <w:name w:val="Список"/>
    <w:basedOn w:val="style43"/>
    <w:next w:val="style44"/>
    <w:pPr/>
    <w:rPr>
      <w:rFonts w:cs="Tahoma"/>
    </w:rPr>
  </w:style>
  <w:style w:styleId="style45" w:type="paragraph">
    <w:name w:val="Название"/>
    <w:basedOn w:val="style0"/>
    <w:next w:val="style45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46" w:type="paragraph">
    <w:name w:val="Указатель"/>
    <w:basedOn w:val="style0"/>
    <w:next w:val="style46"/>
    <w:pPr>
      <w:suppressLineNumbers/>
    </w:pPr>
    <w:rPr>
      <w:rFonts w:cs="Lohit Hindi"/>
    </w:rPr>
  </w:style>
  <w:style w:styleId="style47" w:type="paragraph">
    <w:name w:val="Название3"/>
    <w:basedOn w:val="style0"/>
    <w:next w:val="style47"/>
    <w:pPr>
      <w:suppressLineNumbers/>
      <w:spacing w:after="120" w:before="120"/>
    </w:pPr>
    <w:rPr>
      <w:rFonts w:cs="Tahoma"/>
      <w:i/>
      <w:iCs/>
    </w:rPr>
  </w:style>
  <w:style w:styleId="style48" w:type="paragraph">
    <w:name w:val="Указатель3"/>
    <w:basedOn w:val="style0"/>
    <w:next w:val="style48"/>
    <w:pPr>
      <w:suppressLineNumbers/>
    </w:pPr>
    <w:rPr>
      <w:rFonts w:cs="Tahoma"/>
    </w:rPr>
  </w:style>
  <w:style w:styleId="style49" w:type="paragraph">
    <w:name w:val="Название2"/>
    <w:basedOn w:val="style0"/>
    <w:next w:val="style49"/>
    <w:pPr>
      <w:suppressLineNumbers/>
      <w:spacing w:after="120" w:before="120"/>
    </w:pPr>
    <w:rPr>
      <w:rFonts w:cs="Tahoma"/>
      <w:i/>
      <w:iCs/>
    </w:rPr>
  </w:style>
  <w:style w:styleId="style50" w:type="paragraph">
    <w:name w:val="Указатель2"/>
    <w:basedOn w:val="style0"/>
    <w:next w:val="style50"/>
    <w:pPr>
      <w:suppressLineNumbers/>
    </w:pPr>
    <w:rPr>
      <w:rFonts w:cs="Tahoma"/>
    </w:rPr>
  </w:style>
  <w:style w:styleId="style51" w:type="paragraph">
    <w:name w:val="Название1"/>
    <w:basedOn w:val="style0"/>
    <w:next w:val="style51"/>
    <w:pPr>
      <w:suppressLineNumbers/>
      <w:spacing w:after="120" w:before="120"/>
    </w:pPr>
    <w:rPr>
      <w:rFonts w:cs="Tahoma"/>
      <w:i/>
      <w:iCs/>
    </w:rPr>
  </w:style>
  <w:style w:styleId="style52" w:type="paragraph">
    <w:name w:val="Указатель1"/>
    <w:basedOn w:val="style0"/>
    <w:next w:val="style52"/>
    <w:pPr>
      <w:suppressLineNumbers/>
    </w:pPr>
    <w:rPr>
      <w:rFonts w:cs="Tahoma"/>
    </w:rPr>
  </w:style>
  <w:style w:styleId="style53" w:type="paragraph">
    <w:name w:val="Заглавие"/>
    <w:basedOn w:val="style42"/>
    <w:next w:val="style54"/>
    <w:pPr>
      <w:jc w:val="center"/>
    </w:pPr>
    <w:rPr>
      <w:b/>
      <w:bCs/>
      <w:sz w:val="36"/>
      <w:szCs w:val="36"/>
    </w:rPr>
  </w:style>
  <w:style w:styleId="style54" w:type="paragraph">
    <w:name w:val="Подзаголовок"/>
    <w:basedOn w:val="style42"/>
    <w:next w:val="style43"/>
    <w:pPr>
      <w:jc w:val="center"/>
    </w:pPr>
    <w:rPr>
      <w:i/>
      <w:iCs/>
      <w:sz w:val="28"/>
      <w:szCs w:val="28"/>
    </w:rPr>
  </w:style>
  <w:style w:styleId="style55" w:type="paragraph">
    <w:name w:val="Содержимое таблицы"/>
    <w:basedOn w:val="style0"/>
    <w:next w:val="style55"/>
    <w:pPr>
      <w:suppressLineNumbers/>
    </w:pPr>
    <w:rPr/>
  </w:style>
  <w:style w:styleId="style56" w:type="paragraph">
    <w:name w:val="Заголовок таблицы"/>
    <w:basedOn w:val="style55"/>
    <w:next w:val="style56"/>
    <w:pPr>
      <w:suppressLineNumbers/>
      <w:jc w:val="center"/>
    </w:pPr>
    <w:rPr>
      <w:b/>
      <w:bCs/>
      <w:i/>
      <w:iCs/>
    </w:rPr>
  </w:style>
  <w:style w:styleId="style57" w:type="paragraph">
    <w:name w:val="No Spacing"/>
    <w:next w:val="style57"/>
    <w:pPr>
      <w:widowControl w:val="false"/>
      <w:tabs>
        <w:tab w:leader="none" w:pos="709" w:val="left"/>
      </w:tabs>
      <w:suppressAutoHyphens w:val="true"/>
    </w:pPr>
    <w:rPr>
      <w:rFonts w:ascii="Times New Roman" w:cs="Times New Roman" w:eastAsia="Lucida Sans Unicode" w:hAnsi="Times New Roman"/>
      <w:color w:val="auto"/>
      <w:sz w:val="24"/>
      <w:szCs w:val="24"/>
      <w:lang w:bidi="ar-SA" w:eastAsia="ar-SA" w:val="ru-RU"/>
    </w:rPr>
  </w:style>
  <w:style w:styleId="style58" w:type="paragraph">
    <w:name w:val="Balloon Text"/>
    <w:basedOn w:val="style0"/>
    <w:next w:val="style58"/>
    <w:pPr/>
    <w:rPr>
      <w:rFonts w:ascii="Tahoma" w:hAnsi="Tahoma"/>
      <w:sz w:val="16"/>
      <w:szCs w:val="16"/>
      <w:lang w:val="en-US"/>
    </w:rPr>
  </w:style>
  <w:style w:styleId="style59" w:type="paragraph">
    <w:name w:val="Верхний колонтитул"/>
    <w:basedOn w:val="style0"/>
    <w:next w:val="style59"/>
    <w:pPr>
      <w:widowControl/>
      <w:suppressLineNumbers/>
      <w:tabs>
        <w:tab w:leader="none" w:pos="4677" w:val="center"/>
        <w:tab w:leader="none" w:pos="9355" w:val="right"/>
      </w:tabs>
    </w:pPr>
    <w:rPr>
      <w:rFonts w:eastAsia="Times New Roman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2015-01-21T13:14:00.00Z</dcterms:created>
  <dc:creator>Менеджер</dc:creator>
  <cp:lastModifiedBy>User</cp:lastModifiedBy>
  <cp:lastPrinted>2015-02-10T10:44:00.00Z</cp:lastPrinted>
  <dcterms:modified xsi:type="dcterms:W3CDTF">2015-03-04T08:22:00.00Z</dcterms:modified>
  <cp:revision>15</cp:revision>
  <dc:title>8-918-906-28-48</dc:title>
</cp:coreProperties>
</file>