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6.jpeg" ContentType="image/jpeg"/>
  <Override PartName="/word/media/image5.emf" ContentType="image/x-e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АГЕНТСКИЙ ДОГОВОР № 2</w:t>
      </w:r>
    </w:p>
    <w:p>
      <w:pPr>
        <w:pStyle w:val="Normal"/>
        <w:tabs>
          <w:tab w:val="left" w:pos="737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Алушта</w:t>
        <w:tab/>
        <w:t>«26» февраля  2016 года</w:t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«Библио-Глобус Русь», именуемое в дальнейшем «Агент», в лице Киселева Юрия Валерьевича, действующего на основании устава с одной стороны и, Индивидуальный предприниматель Белоус Николай Викторович, именуемое в дальнейшем «Принципал», в лице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Белоус Николая Викторовича, действующего на основании свидетельства №91№000041610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 xml:space="preserve">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FFFFFF" w:val="clear"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FFFFFF" w:val="clear"/>
        </w:rPr>
        <w:t>Объект размещения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«Туристический комплекс Арго», расположенный по адресу: Крым, г. Алушта, пос. Малореческое, ул. Виноградная,18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бронирование номеров/услуг</w:t>
      </w:r>
      <w:r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продажу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Мягкая Квота</w:t>
      </w:r>
      <w:r>
        <w:rPr>
          <w:rFonts w:ascii="Times New Roman" w:hAnsi="Times New Roman"/>
          <w:i/>
          <w:iCs/>
          <w:sz w:val="24"/>
          <w:szCs w:val="24"/>
        </w:rPr>
        <w:t xml:space="preserve"> — количество номеров определенной категории, которое Принципал гарантирует подтвердить Агенту до наступления Релиз-Периода.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 xml:space="preserve"> -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Гарантированный депозит — </w:t>
      </w:r>
      <w:r>
        <w:rPr>
          <w:rFonts w:ascii="Times New Roman" w:hAnsi="Times New Roman"/>
          <w:i/>
          <w:iCs/>
          <w:sz w:val="24"/>
          <w:szCs w:val="24"/>
        </w:rPr>
        <w:t xml:space="preserve">сумма денежных средств, которую Агент обязуется перечислить Принципалу согласно графику платежей в счёт оплаты услуг по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Турпродукт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Полный перечень услуг, входящих в стоимость проживания, цены на категории номеров, периоды их действия и Релиз-Период согласованы Сторонами в Приложении №1 и 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Принципала,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 с предоплатой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Ref410172535"/>
      <w:bookmarkEnd w:id="0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суток между датой бронирования и датой заезда больше или равно Релиз-периоду, указанному в Приложении №1.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52"/>
      <w:bookmarkEnd w:id="1"/>
      <w:r>
        <w:rPr>
          <w:rFonts w:ascii="Times New Roman" w:hAnsi="Times New Roman"/>
          <w:sz w:val="24"/>
          <w:szCs w:val="24"/>
        </w:rPr>
        <w:t>В случае отмены бронирования позднее наступления Релиз-периода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Релиз-периода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_Ref410172535 \r \h </w:instrText>
      </w:r>
      <w:r>
        <w:fldChar w:fldCharType="separate"/>
      </w:r>
      <w:r>
        <w:t>4.4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после 14:00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Расчетное время выселения Клиентов из Объекта размещения до 12:00 дня </w:t>
      </w:r>
      <w:r>
        <w:rPr>
          <w:rFonts w:ascii="Times New Roman" w:hAnsi="Times New Roman"/>
          <w:sz w:val="24"/>
          <w:szCs w:val="24"/>
        </w:rPr>
        <w:t>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компенсирует Клиенту заселение позже расчетного часа, либо выселение ранее расчетного часа.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услуг, оказываемых Принципалом Клиентам Агента по поступившим от Агента заявкам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fill="FFFF66" w:val="clear"/>
        </w:rPr>
        <w:t xml:space="preserve">Все тарифы на услуги Принципала являются ценами нетто, указаны в рублях РФ, </w:t>
      </w:r>
      <w:r>
        <w:rPr>
          <w:rFonts w:eastAsia="Times New Roman" w:ascii="Times New Roman" w:hAnsi="Times New Roman"/>
          <w:i/>
          <w:iCs/>
          <w:color w:val="6600FF"/>
          <w:sz w:val="24"/>
          <w:szCs w:val="24"/>
          <w:shd w:fill="FFFF00" w:val="clear"/>
          <w:lang w:eastAsia="ru-RU"/>
        </w:rPr>
        <w:t xml:space="preserve">НДС не облагаются на основании применения Принципалом УСН </w:t>
      </w:r>
      <w:r>
        <w:rPr>
          <w:rFonts w:eastAsia="Times New Roman" w:ascii="Times New Roman" w:hAnsi="Times New Roman"/>
          <w:color w:val="000000"/>
          <w:sz w:val="24"/>
          <w:szCs w:val="24"/>
          <w:shd w:fill="FFFF00" w:val="clear"/>
          <w:lang w:eastAsia="ru-RU"/>
        </w:rPr>
        <w:t>и действуют для граждан любой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страны. 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CCFF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забронированных услуг.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размещению осуществляется по согласованному Сторонами графику, указанному в Приложении №2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превышает общую сумму оплат Агента, Агент обязан оплатить разницу до заезда Клиентов.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течении 15 (пятнадцать) календарных дней после подписания Акта сверки расчетов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shd w:fill="FFFF66" w:val="clear"/>
        </w:rPr>
      </w:pPr>
      <w:r>
        <w:rPr>
          <w:rFonts w:ascii="Times New Roman" w:hAnsi="Times New Roman"/>
          <w:b/>
          <w:sz w:val="24"/>
          <w:szCs w:val="24"/>
          <w:shd w:fill="FFFF66" w:val="clear"/>
        </w:rPr>
        <w:t>ВОЗНАГРАЖДЕНИЕ АГЕНТА</w:t>
      </w:r>
    </w:p>
    <w:p>
      <w:pPr>
        <w:pStyle w:val="ListParagraph"/>
        <w:rPr>
          <w:shd w:fill="FFFF66" w:val="clear"/>
        </w:rPr>
      </w:pPr>
      <w:r>
        <w:rPr>
          <w:shd w:fill="FFFF66" w:val="clear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fill="FFFF66" w:val="clear"/>
        </w:rPr>
      </w:pPr>
      <w:r>
        <w:rPr>
          <w:rFonts w:ascii="Times New Roman" w:hAnsi="Times New Roman"/>
          <w:color w:val="000000"/>
          <w:sz w:val="24"/>
          <w:szCs w:val="24"/>
          <w:shd w:fill="FFFF66" w:val="clear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sz w:val="24"/>
          <w:szCs w:val="24"/>
          <w:shd w:fill="FFFF66" w:val="clear"/>
          <w:lang w:val="ru-RU"/>
        </w:rPr>
      </w:pPr>
      <w:r>
        <w:rPr>
          <w:rFonts w:ascii="Times New Roman" w:hAnsi="Times New Roman"/>
          <w:b w:val="false"/>
          <w:sz w:val="24"/>
          <w:szCs w:val="24"/>
          <w:shd w:fill="FFFF66" w:val="clear"/>
          <w:lang w:val="ru-RU"/>
        </w:rPr>
        <w:t>Агент не позднее 10 рабочих</w:t>
      </w:r>
      <w:r>
        <w:rPr>
          <w:rFonts w:ascii="Times New Roman" w:hAnsi="Times New Roman"/>
          <w:sz w:val="24"/>
          <w:szCs w:val="24"/>
          <w:shd w:fill="FFFF66" w:val="clea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shd w:fill="FFFF66" w:val="clear"/>
          <w:lang w:val="ru-RU"/>
        </w:rPr>
        <w:t>дней, следующих за отчетным месяцем, предоставляет Принципалу отсканированные копии подписанного «Отчет АГЕНТА» (Приложение №3) о продажах путевок, сформированных по дате выезда</w:t>
      </w:r>
      <w:r>
        <w:rPr>
          <w:rFonts w:ascii="Times New Roman" w:hAnsi="Times New Roman"/>
          <w:sz w:val="24"/>
          <w:szCs w:val="24"/>
          <w:shd w:fill="FFFF66" w:val="clea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shd w:fill="FFFF66" w:val="clear"/>
          <w:lang w:val="ru-RU"/>
        </w:rPr>
        <w:t>(за месяц). Отчет АГЕНТА считается принятым Принципалом, если в течение 5</w:t>
      </w:r>
      <w:r>
        <w:rPr>
          <w:rFonts w:ascii="Times New Roman" w:hAnsi="Times New Roman"/>
          <w:sz w:val="24"/>
          <w:szCs w:val="24"/>
          <w:shd w:fill="FFFF66" w:val="clea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shd w:fill="FFFF66" w:val="clear"/>
          <w:lang w:val="ru-RU"/>
        </w:rPr>
        <w:t>рабочих</w:t>
      </w:r>
      <w:r>
        <w:rPr>
          <w:rFonts w:ascii="Times New Roman" w:hAnsi="Times New Roman"/>
          <w:sz w:val="24"/>
          <w:szCs w:val="24"/>
          <w:shd w:fill="FFFF66" w:val="clea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shd w:fill="FFFF66" w:val="clear"/>
          <w:lang w:val="ru-RU"/>
        </w:rPr>
        <w:t>дней с момента его получения Принципал не представит Агенту письменных возражений по содержанию отчета.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66" w:val="clear"/>
        </w:rPr>
      </w:pPr>
      <w:r>
        <w:rPr>
          <w:rFonts w:ascii="Times New Roman" w:hAnsi="Times New Roman"/>
          <w:sz w:val="24"/>
          <w:szCs w:val="24"/>
          <w:shd w:fill="FFFF66" w:val="clear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0" w:righ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№__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услуги в соответствии с действующими в Российской Федерации нормами, стандартами, правилами и законодательством.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 в одностороннем порядке изменять установленные Приложением цены с письменным уведомлением Агента с указанием даты и времени вступления изменений в силу, но не ранее, чем за 5 рабочих дней до начала действия новых цен. Агент обязан  сообщить Принципалу о клиентах, которые оплатили забронированные услуги по старым ценам до даты вступления в силу изменений цены. Принципал, в свою очередь, должен принять и подтвердить все заявки Агента, поступившие в течение этого периода, по старым ценам.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>
      <w:pPr>
        <w:pStyle w:val="ListParagraph"/>
        <w:numPr>
          <w:ilvl w:val="2"/>
          <w:numId w:val="1"/>
        </w:numPr>
        <w:jc w:val="both"/>
        <w:rPr>
          <w:rStyle w:val="FontStyle18"/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</w:rPr>
        <w:t>Реализовывать</w:t>
      </w:r>
      <w:r>
        <w:rPr>
          <w:rStyle w:val="FontStyle18"/>
          <w:rFonts w:ascii="Times New Roman" w:hAnsi="Times New Roman"/>
          <w:sz w:val="24"/>
          <w:szCs w:val="24"/>
          <w:shd w:fill="FFFFFF" w:val="clear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Предлагать Клиентам, во время пребывания в Объекте размещения дополнительные услуги (экскурсии, трансферы и т.п.) на территории Объекта размещения по тарифам Агента.  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органов,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FF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color w:val="FF3333"/>
          <w:sz w:val="24"/>
          <w:szCs w:val="24"/>
        </w:rPr>
        <w:t>Арбитражном суде Республики Крым.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Ref410172365"/>
      <w:bookmarkEnd w:id="2"/>
      <w:r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наступившие обстоятельства, перечисленные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течение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будет действовать по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«31» 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г., </w:t>
      </w:r>
      <w:r>
        <w:rPr>
          <w:rFonts w:ascii="Times New Roman" w:hAnsi="Times New Roman"/>
          <w:sz w:val="24"/>
          <w:szCs w:val="24"/>
        </w:rPr>
        <w:t>но в любом случае до полного исполнения Сторонами финансовых обязательств по данному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Ref410172479"/>
      <w:bookmarkEnd w:id="3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66" w:val="clear"/>
        </w:rPr>
      </w:pPr>
      <w:r>
        <w:rPr>
          <w:rFonts w:ascii="Times New Roman" w:hAnsi="Times New Roman"/>
          <w:sz w:val="24"/>
          <w:szCs w:val="24"/>
          <w:shd w:fill="FFFF66" w:val="clear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pageBreakBefore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33" w:type="dxa"/>
          <w:bottom w:w="0" w:type="dxa"/>
          <w:right w:w="108" w:type="dxa"/>
        </w:tblCellMar>
      </w:tblPr>
      <w:tblGrid>
        <w:gridCol w:w="4992"/>
        <w:gridCol w:w="4910"/>
      </w:tblGrid>
      <w:tr>
        <w:trPr>
          <w:trHeight w:val="8213" w:hRule="atLeast"/>
          <w:cantSplit w:val="false"/>
        </w:trPr>
        <w:tc>
          <w:tcPr>
            <w:tcW w:w="4992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Принципал: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Индивидуальный предприниматель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Белоус Николай Викторович</w:t>
            </w:r>
          </w:p>
          <w:tbl>
            <w:tblPr>
              <w:jc w:val="left"/>
              <w:tblInd w:w="0" w:type="dxa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25"/>
              <w:gridCol w:w="235"/>
            </w:tblGrid>
            <w:tr>
              <w:trPr>
                <w:trHeight w:val="255" w:hRule="atLeast"/>
                <w:cantSplit w:val="false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  <w:vAlign w:val="bottom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Номер свидетельства: 91 №000041610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Адрес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 Российская Федерация, Республика Крым, г. Алушта, п. Малореченское, ул. Виноградная, 18</w:t>
                    <w:br/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ИНН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: 910906250674 </w:t>
                    <w:br/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Расчетный счет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 40802810842110000286 в Российский Национальный Коммерческий Банк (ОАО)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КПП 9109062506</w:t>
                    <w:br/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К/счет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 30101810400000000607</w:t>
                    <w:br/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БИК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:043510607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Тел/факс:  38 (06560) 2 31 19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Тел.. моб +798 800 800 90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  <w:vAlign w:val="bottom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Агент: ООО «Библио-Глобус Русь»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123022, г. Москва, ул. Красная Пресня, д. 28, пом. № V, комната №1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 109028, г. Москва, Казарменный переулок, д.8, стр 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7731447661 / 770301001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1137746426619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Акционерный Коммерческий Банк «АВАНГАРД» (ПАО АКБ «АВАНГАРД»)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40702810900000032072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30101810000000000201 в ОПЕРУ Московского ГТУ Банка России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044525201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ОКПО17583388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ОКАТО/ОКТМО 45286575000/45380000000</w:t>
            </w:r>
          </w:p>
        </w:tc>
      </w:tr>
      <w:tr>
        <w:trPr>
          <w:cantSplit w:val="false"/>
        </w:trPr>
        <w:tc>
          <w:tcPr>
            <w:tcW w:w="4992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Принципала: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Агента: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992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__________________Белоус Н. В.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___________________Киселев Ю. В.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992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Ген. директор</w:t>
            </w:r>
          </w:p>
        </w:tc>
      </w:tr>
      <w:tr>
        <w:trPr>
          <w:cantSplit w:val="false"/>
        </w:trPr>
        <w:tc>
          <w:tcPr>
            <w:tcW w:w="4992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 к Договору №2 от 26.02.2016г.</w:t>
      </w:r>
    </w:p>
    <w:p>
      <w:pPr>
        <w:pStyle w:val="Normal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  <w:t>Тарифы  на проживание в отеле «Вилла Арго»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  <w:t>(за номер) в рублях в  2016 г.</w:t>
      </w:r>
    </w:p>
    <w:tbl>
      <w:tblPr>
        <w:jc w:val="center"/>
        <w:tblInd w:w="0" w:type="dxa"/>
        <w:tblBorders>
          <w:top w:val="single" w:sz="8" w:space="0" w:color="00000A"/>
          <w:left w:val="single" w:sz="4" w:space="0" w:color="00000A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3047"/>
        <w:gridCol w:w="1389"/>
        <w:gridCol w:w="770"/>
        <w:gridCol w:w="3"/>
        <w:gridCol w:w="895"/>
        <w:gridCol w:w="1044"/>
        <w:gridCol w:w="3"/>
        <w:gridCol w:w="1779"/>
      </w:tblGrid>
      <w:tr>
        <w:trPr>
          <w:trHeight w:val="816" w:hRule="atLeast"/>
          <w:cantSplit w:val="false"/>
        </w:trPr>
        <w:tc>
          <w:tcPr>
            <w:tcW w:w="3047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Категории номеров </w:t>
            </w:r>
          </w:p>
        </w:tc>
        <w:tc>
          <w:tcPr>
            <w:tcW w:w="21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Тихий 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Сезон(</w:t>
            </w:r>
            <w:r>
              <w:rPr>
                <w:rFonts w:eastAsia="Times New Roman"/>
                <w:color w:val="000000"/>
                <w:lang w:val="en-US" w:eastAsia="ru-RU"/>
              </w:rPr>
              <w:t>BB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942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Оздоровительный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Сезон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(HB)</w:t>
            </w:r>
          </w:p>
        </w:tc>
        <w:tc>
          <w:tcPr>
            <w:tcW w:w="1779" w:type="dxa"/>
            <w:tcBorders>
              <w:top w:val="single" w:sz="8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Курортный сезон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(HB)</w:t>
            </w:r>
          </w:p>
        </w:tc>
      </w:tr>
      <w:tr>
        <w:trPr>
          <w:trHeight w:val="360" w:hRule="atLeast"/>
          <w:cantSplit w:val="false"/>
        </w:trPr>
        <w:tc>
          <w:tcPr>
            <w:tcW w:w="3047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162" w:type="dxa"/>
            <w:gridSpan w:val="3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insideH w:val="single" w:sz="4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11.01-28.04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10.01-27.12</w:t>
            </w:r>
          </w:p>
        </w:tc>
        <w:tc>
          <w:tcPr>
            <w:tcW w:w="1942" w:type="dxa"/>
            <w:gridSpan w:val="3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insideH w:val="single" w:sz="4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29.04-14.06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11.09-30.09</w:t>
            </w:r>
          </w:p>
        </w:tc>
        <w:tc>
          <w:tcPr>
            <w:tcW w:w="1779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28.12-09.01 15.06-10.09</w:t>
            </w:r>
          </w:p>
        </w:tc>
      </w:tr>
      <w:tr>
        <w:trPr>
          <w:trHeight w:val="537" w:hRule="atLeast"/>
          <w:cantSplit w:val="false"/>
        </w:trPr>
        <w:tc>
          <w:tcPr>
            <w:tcW w:w="3047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162" w:type="dxa"/>
            <w:gridSpan w:val="3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1"/>
              <w:insideH w:val="single" w:sz="4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1942" w:type="dxa"/>
            <w:gridSpan w:val="3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1"/>
              <w:insideH w:val="single" w:sz="4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1779" w:type="dxa"/>
            <w:vMerge w:val="continue"/>
            <w:tcBorders>
              <w:top w:val="single" w:sz="8" w:space="0" w:color="00000A"/>
              <w:left w:val="single" w:sz="8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555" w:hRule="atLeast"/>
          <w:cantSplit w:val="false"/>
        </w:trPr>
        <w:tc>
          <w:tcPr>
            <w:tcW w:w="3047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138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 чел.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 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 чел.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 чел.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 чел</w:t>
            </w:r>
          </w:p>
        </w:tc>
      </w:tr>
      <w:tr>
        <w:trPr>
          <w:trHeight w:val="459" w:hRule="atLeast"/>
          <w:cantSplit w:val="false"/>
        </w:trPr>
        <w:tc>
          <w:tcPr>
            <w:tcW w:w="3047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Стандарт А    (2-х местный)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6500</w:t>
            </w:r>
          </w:p>
        </w:tc>
      </w:tr>
      <w:tr>
        <w:trPr>
          <w:trHeight w:val="555" w:hRule="atLeast"/>
          <w:cantSplit w:val="false"/>
        </w:trPr>
        <w:tc>
          <w:tcPr>
            <w:tcW w:w="3047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Стандарт В    (2-х местный)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5500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7000</w:t>
            </w:r>
          </w:p>
        </w:tc>
      </w:tr>
      <w:tr>
        <w:trPr>
          <w:trHeight w:val="467" w:hRule="atLeast"/>
          <w:cantSplit w:val="false"/>
        </w:trPr>
        <w:tc>
          <w:tcPr>
            <w:tcW w:w="3047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Стандарт С    (3-х местный)*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4500*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6000*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9600*</w:t>
            </w:r>
          </w:p>
        </w:tc>
      </w:tr>
      <w:tr>
        <w:trPr>
          <w:trHeight w:val="389" w:hRule="atLeast"/>
          <w:cantSplit w:val="false"/>
        </w:trPr>
        <w:tc>
          <w:tcPr>
            <w:tcW w:w="3047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Люкс                (2-х местный)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6500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9000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eastAsia="Times New Roman" w:ascii="Times New Roman" w:hAnsi="Times New Roman"/>
          <w:vanish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vanish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A"/>
          <w:sz w:val="24"/>
          <w:szCs w:val="24"/>
          <w:lang w:eastAsia="ru-RU"/>
        </w:rPr>
      </w:r>
      <w:r>
        <w:pict>
          <v:rect fillcolor="#FFFFFF" strokecolor="#000000" strokeweight="0pt" style="position:absolute;width:306pt;height:78.8pt;mso-wrap-distance-left:9pt;mso-wrap-distance-right:9pt;mso-wrap-distance-top:0pt;mso-wrap-distance-bottom:0pt;margin-top:4.6pt;margin-left:102.1pt">
            <v:textbox inset="0in,0in,0in,0in">
              <w:txbxContent>
                <w:tbl>
                  <w:tblPr>
                    <w:jc w:val="left"/>
                    <w:tblInd w:w="8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1"/>
                      <w:insideH w:val="single" w:sz="4" w:space="0" w:color="000001"/>
                      <w:right w:val="single" w:sz="4" w:space="0" w:color="000001"/>
                      <w:insideV w:val="single" w:sz="4" w:space="0" w:color="000001"/>
                    </w:tblBorders>
                    <w:tblCellMar>
                      <w:top w:w="0" w:type="dxa"/>
                      <w:left w:w="83" w:type="dxa"/>
                      <w:bottom w:w="0" w:type="dxa"/>
                      <w:right w:w="108" w:type="dxa"/>
                    </w:tblCellMar>
                  </w:tblPr>
                  <w:tblGrid>
                    <w:gridCol w:w="2075"/>
                    <w:gridCol w:w="1255"/>
                    <w:gridCol w:w="2791"/>
                  </w:tblGrid>
                  <w:tr>
                    <w:trPr>
                      <w:trHeight w:val="506" w:hRule="atLeast"/>
                      <w:cantSplit w:val="false"/>
                    </w:trPr>
                    <w:tc>
                      <w:tcPr>
                        <w:tcW w:w="207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eastAsia="ru-RU"/>
                          </w:rPr>
                          <w:t xml:space="preserve">Доп место 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Тихий</w:t>
                        </w:r>
                      </w:p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сезон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insideH w:val="nil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Оздоровительный    и    Курортный сезон</w:t>
                        </w:r>
                      </w:p>
                    </w:tc>
                  </w:tr>
                  <w:tr>
                    <w:trPr>
                      <w:trHeight w:val="137" w:hRule="atLeast"/>
                      <w:cantSplit w:val="false"/>
                    </w:trPr>
                    <w:tc>
                      <w:tcPr>
                        <w:tcW w:w="6121" w:type="dxa"/>
                        <w:gridSpan w:val="3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Дети до 6 лет бесплатно без питания и места.</w:t>
                        </w:r>
                      </w:p>
                    </w:tc>
                  </w:tr>
                  <w:tr>
                    <w:trPr>
                      <w:trHeight w:val="279" w:hRule="atLeast"/>
                      <w:cantSplit w:val="false"/>
                    </w:trPr>
                    <w:tc>
                      <w:tcPr>
                        <w:tcW w:w="207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6 до 12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2000</w:t>
                        </w:r>
                      </w:p>
                    </w:tc>
                  </w:tr>
                  <w:tr>
                    <w:trPr>
                      <w:trHeight w:val="279" w:hRule="atLeast"/>
                      <w:cantSplit w:val="false"/>
                    </w:trPr>
                    <w:tc>
                      <w:tcPr>
                        <w:tcW w:w="207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с 12  (взрослый)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2500</w:t>
                        </w:r>
                      </w:p>
                    </w:tc>
                  </w:tr>
                </w:tbl>
                <w:p>
                  <w:pPr>
                    <w:pStyle w:val="Style25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lang w:eastAsia="ru-RU"/>
        </w:rPr>
      </w:pPr>
      <w:r>
        <w:rPr>
          <w:rFonts w:eastAsia="Times New Roman" w:ascii="Times New Roman" w:hAnsi="Times New Roman"/>
          <w:b/>
          <w:color w:val="00000A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lang w:eastAsia="ru-RU"/>
        </w:rPr>
      </w:pPr>
      <w:r>
        <w:rPr>
          <w:rFonts w:eastAsia="Times New Roman" w:ascii="Times New Roman" w:hAnsi="Times New Roman"/>
          <w:b/>
          <w:color w:val="00000A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lang w:eastAsia="ru-RU"/>
        </w:rPr>
      </w:pPr>
      <w:r>
        <w:rPr>
          <w:rFonts w:eastAsia="Times New Roman" w:ascii="Times New Roman" w:hAnsi="Times New Roman"/>
          <w:b/>
          <w:color w:val="00000A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* - цена за троих человек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18"/>
          <w:szCs w:val="18"/>
          <w:lang w:eastAsia="ru-RU"/>
        </w:rPr>
        <w:t>В стоимость номера входит: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Размещение в номере выбранной категории.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Питание: завтрак, ужин (с 1 мая по 30 сентября).  Завтрак (с 1 октября по 30 апреля).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Пользование летним  бассейном ( шезлонги и шатры у бассейна, пляжные полотенца) 2 детских  площадки с горками, качелями в отеле «Камелот» и «Альпийская Долина».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Использование в ресторане детского стульчика.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Тренажерный зал.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Бесплатный Wi-Fi на территории отеля.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Свободное пользование нардами/шахматами /шашки.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Пользование настольным теннисом.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Охраняемая стоянка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Прокат детской кроватки (детям до 3-х лет)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Мини парфюмерия в номерах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18"/>
          <w:szCs w:val="18"/>
          <w:lang w:eastAsia="ru-RU"/>
        </w:rPr>
        <w:t>Услуги которые предоставляются за отдельную плату: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СПА-центр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Сауна, хаммам, джакузи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Ресторан «Арго»-круглый год,  ресторан «Камелот», кафе «Альпийская Долина» – летний сезон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Прокат машины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Аренда машины с водителем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Услуги няни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Услуги фотографа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Услуги парикмахера, маникюр, педикюр,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Прокат детской коляски ( по предварительному запросу),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Прокат DVD,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Трансфер по Крыму.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18"/>
          <w:szCs w:val="18"/>
          <w:lang w:eastAsia="ru-RU"/>
        </w:rPr>
      </w:pPr>
      <w:r>
        <w:rPr>
          <w:rFonts w:eastAsia="Times New Roman" w:ascii="Times New Roman" w:hAnsi="Times New Roman"/>
          <w:color w:val="00000A"/>
          <w:sz w:val="18"/>
          <w:szCs w:val="18"/>
          <w:lang w:eastAsia="ru-RU"/>
        </w:rPr>
        <w:t>Экскурсии по достопримечательностям Крыма.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  <w:t>Тарифы  на проживание в отеле «Камелот»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  <w:t>(за номер) в рублях в  2016г.</w:t>
      </w:r>
    </w:p>
    <w:tbl>
      <w:tblPr>
        <w:jc w:val="center"/>
        <w:tblInd w:w="0" w:type="dxa"/>
        <w:tblBorders>
          <w:top w:val="single" w:sz="8" w:space="0" w:color="00000A"/>
          <w:left w:val="single" w:sz="4" w:space="0" w:color="00000A"/>
          <w:bottom w:val="single" w:sz="8" w:space="0" w:color="000001"/>
          <w:insideH w:val="single" w:sz="8" w:space="0" w:color="000001"/>
          <w:right w:val="nil"/>
          <w:insideV w:val="nil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5228"/>
        <w:gridCol w:w="2786"/>
        <w:gridCol w:w="1"/>
        <w:gridCol w:w="1528"/>
      </w:tblGrid>
      <w:tr>
        <w:trPr>
          <w:trHeight w:val="532" w:hRule="atLeast"/>
          <w:cantSplit w:val="false"/>
        </w:trPr>
        <w:tc>
          <w:tcPr>
            <w:tcW w:w="5228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Категории номеров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(завтрак, ужин) HB</w:t>
            </w:r>
          </w:p>
        </w:tc>
        <w:tc>
          <w:tcPr>
            <w:tcW w:w="2787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insideH w:val="nil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Оздоровительный 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сезон</w:t>
            </w:r>
          </w:p>
        </w:tc>
        <w:tc>
          <w:tcPr>
            <w:tcW w:w="1528" w:type="dxa"/>
            <w:tcBorders>
              <w:top w:val="single" w:sz="8" w:space="0" w:color="00000A"/>
              <w:left w:val="nil"/>
              <w:bottom w:val="nil"/>
              <w:insideH w:val="nil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Курортный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сезон</w:t>
            </w:r>
          </w:p>
        </w:tc>
      </w:tr>
      <w:tr>
        <w:trPr>
          <w:trHeight w:val="360" w:hRule="atLeast"/>
          <w:cantSplit w:val="false"/>
        </w:trPr>
        <w:tc>
          <w:tcPr>
            <w:tcW w:w="5228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1.05-14.06   11.09-30.09</w:t>
            </w:r>
          </w:p>
        </w:tc>
        <w:tc>
          <w:tcPr>
            <w:tcW w:w="15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15.06-10.09</w:t>
            </w:r>
          </w:p>
        </w:tc>
      </w:tr>
      <w:tr>
        <w:trPr>
          <w:trHeight w:val="269" w:hRule="atLeast"/>
          <w:cantSplit w:val="false"/>
        </w:trPr>
        <w:tc>
          <w:tcPr>
            <w:tcW w:w="5228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78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273" w:hRule="atLeast"/>
          <w:cantSplit w:val="false"/>
        </w:trPr>
        <w:tc>
          <w:tcPr>
            <w:tcW w:w="5228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78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 чел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 чел</w:t>
            </w:r>
          </w:p>
        </w:tc>
      </w:tr>
      <w:tr>
        <w:trPr>
          <w:trHeight w:val="441" w:hRule="atLeast"/>
          <w:cantSplit w:val="false"/>
        </w:trPr>
        <w:tc>
          <w:tcPr>
            <w:tcW w:w="5228" w:type="dxa"/>
            <w:tcBorders>
              <w:top w:val="nil"/>
              <w:left w:val="single" w:sz="4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Стандарт 1   (2-х местный)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6600</w:t>
            </w:r>
          </w:p>
        </w:tc>
      </w:tr>
      <w:tr>
        <w:trPr>
          <w:trHeight w:val="391" w:hRule="atLeast"/>
          <w:cantSplit w:val="false"/>
        </w:trPr>
        <w:tc>
          <w:tcPr>
            <w:tcW w:w="5228" w:type="dxa"/>
            <w:tcBorders>
              <w:top w:val="nil"/>
              <w:left w:val="single" w:sz="4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Стандарт 2   (2-х местный)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7300</w:t>
            </w:r>
          </w:p>
        </w:tc>
      </w:tr>
      <w:tr>
        <w:trPr>
          <w:trHeight w:val="410" w:hRule="atLeast"/>
          <w:cantSplit w:val="false"/>
        </w:trPr>
        <w:tc>
          <w:tcPr>
            <w:tcW w:w="5228" w:type="dxa"/>
            <w:tcBorders>
              <w:top w:val="nil"/>
              <w:left w:val="single" w:sz="4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Стандарт 3  (2-х местный)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6500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8000</w:t>
            </w:r>
          </w:p>
        </w:tc>
      </w:tr>
      <w:tr>
        <w:trPr>
          <w:trHeight w:val="402" w:hRule="atLeast"/>
          <w:cantSplit w:val="false"/>
        </w:trPr>
        <w:tc>
          <w:tcPr>
            <w:tcW w:w="5228" w:type="dxa"/>
            <w:tcBorders>
              <w:top w:val="nil"/>
              <w:left w:val="single" w:sz="4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Полулюкс      (2-местный)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7500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9000</w:t>
            </w:r>
          </w:p>
        </w:tc>
      </w:tr>
      <w:tr>
        <w:trPr>
          <w:trHeight w:val="267" w:hRule="atLeast"/>
          <w:cantSplit w:val="false"/>
        </w:trPr>
        <w:tc>
          <w:tcPr>
            <w:tcW w:w="5228" w:type="dxa"/>
            <w:tcBorders>
              <w:top w:val="nil"/>
              <w:left w:val="single" w:sz="4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Полулюкс семейный          (3-х местный)*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10000</w:t>
            </w:r>
            <w:bookmarkStart w:id="4" w:name="__DdeLink__6001_702560743"/>
            <w:bookmarkEnd w:id="4"/>
            <w:r>
              <w:rPr>
                <w:rFonts w:eastAsia="Times New Roman"/>
                <w:color w:val="000000"/>
                <w:lang w:eastAsia="ru-RU"/>
              </w:rPr>
              <w:t>*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13000*</w:t>
            </w:r>
          </w:p>
        </w:tc>
      </w:tr>
      <w:tr>
        <w:trPr>
          <w:trHeight w:val="495" w:hRule="atLeast"/>
          <w:cantSplit w:val="false"/>
        </w:trPr>
        <w:tc>
          <w:tcPr>
            <w:tcW w:w="5228" w:type="dxa"/>
            <w:tcBorders>
              <w:top w:val="nil"/>
              <w:left w:val="single" w:sz="4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Люкс (2 -х местный)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9500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10500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eastAsia="Times New Roman" w:ascii="Times New Roman" w:hAnsi="Times New Roman"/>
          <w:vanish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vanish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  <w:r>
        <w:pict>
          <v:rect fillcolor="#FFFFFF" strokecolor="#000000" strokeweight="0pt" style="position:absolute;width:381.05pt;height:72.3pt;mso-wrap-distance-left:9pt;mso-wrap-distance-right:9pt;mso-wrap-distance-top:0pt;mso-wrap-distance-bottom:0pt;margin-top:4.2pt;margin-left:76.6pt">
            <v:textbox inset="0in,0in,0in,0in">
              <w:txbxContent>
                <w:tbl>
                  <w:tblPr>
                    <w:jc w:val="left"/>
                    <w:tblInd w:w="8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1"/>
                      <w:insideH w:val="single" w:sz="4" w:space="0" w:color="000001"/>
                      <w:right w:val="single" w:sz="4" w:space="0" w:color="000001"/>
                      <w:insideV w:val="single" w:sz="4" w:space="0" w:color="000001"/>
                    </w:tblBorders>
                    <w:tblCellMar>
                      <w:top w:w="0" w:type="dxa"/>
                      <w:left w:w="83" w:type="dxa"/>
                      <w:bottom w:w="0" w:type="dxa"/>
                      <w:right w:w="108" w:type="dxa"/>
                    </w:tblCellMar>
                  </w:tblPr>
                  <w:tblGrid>
                    <w:gridCol w:w="2572"/>
                    <w:gridCol w:w="2207"/>
                    <w:gridCol w:w="2842"/>
                  </w:tblGrid>
                  <w:tr>
                    <w:trPr>
                      <w:trHeight w:val="567" w:hRule="atLeast"/>
                      <w:cantSplit w:val="false"/>
                    </w:trPr>
                    <w:tc>
                      <w:tcPr>
                        <w:tcW w:w="257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eastAsia="ru-RU"/>
                          </w:rPr>
                          <w:t xml:space="preserve">Доп место </w:t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Оздоровительный  сезон</w:t>
                        </w:r>
                      </w:p>
                    </w:tc>
                    <w:tc>
                      <w:tcPr>
                        <w:tcW w:w="2842" w:type="dxa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insideH w:val="nil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Курортный</w:t>
                        </w:r>
                      </w:p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сезон</w:t>
                        </w:r>
                      </w:p>
                    </w:tc>
                  </w:tr>
                  <w:tr>
                    <w:trPr>
                      <w:trHeight w:val="154" w:hRule="atLeast"/>
                      <w:cantSplit w:val="false"/>
                    </w:trPr>
                    <w:tc>
                      <w:tcPr>
                        <w:tcW w:w="7621" w:type="dxa"/>
                        <w:gridSpan w:val="3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Дети до 6 лет бесплатно без питания и места</w:t>
                        </w:r>
                      </w:p>
                    </w:tc>
                  </w:tr>
                  <w:tr>
                    <w:trPr>
                      <w:trHeight w:val="313" w:hRule="atLeast"/>
                      <w:cantSplit w:val="false"/>
                    </w:trPr>
                    <w:tc>
                      <w:tcPr>
                        <w:tcW w:w="257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6 до 12</w:t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                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2000</w:t>
                        </w:r>
                      </w:p>
                    </w:tc>
                    <w:tc>
                      <w:tcPr>
                        <w:tcW w:w="284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2500</w:t>
                        </w:r>
                      </w:p>
                    </w:tc>
                  </w:tr>
                  <w:tr>
                    <w:trPr>
                      <w:trHeight w:val="313" w:hRule="atLeast"/>
                      <w:cantSplit w:val="false"/>
                    </w:trPr>
                    <w:tc>
                      <w:tcPr>
                        <w:tcW w:w="257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с 12  (взрослый)</w:t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2000</w:t>
                        </w:r>
                      </w:p>
                    </w:tc>
                    <w:tc>
                      <w:tcPr>
                        <w:tcW w:w="284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2500</w:t>
                        </w:r>
                      </w:p>
                    </w:tc>
                  </w:tr>
                </w:tbl>
                <w:p>
                  <w:pPr>
                    <w:pStyle w:val="Style25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2"/>
          <w:szCs w:val="22"/>
          <w:lang w:eastAsia="ru-RU"/>
        </w:rPr>
      </w:pPr>
      <w:bookmarkStart w:id="5" w:name="__DdeLink__7712_702560743"/>
      <w:r>
        <w:rPr>
          <w:rFonts w:eastAsia="Times New Roman" w:ascii="Times New Roman" w:hAnsi="Times New Roman"/>
          <w:b/>
          <w:color w:val="00000A"/>
          <w:sz w:val="22"/>
          <w:szCs w:val="22"/>
          <w:lang w:eastAsia="ru-RU"/>
        </w:rPr>
        <w:t xml:space="preserve">* - </w:t>
      </w:r>
      <w:bookmarkEnd w:id="5"/>
      <w:r>
        <w:rPr>
          <w:rFonts w:eastAsia="Times New Roman" w:ascii="Times New Roman" w:hAnsi="Times New Roman"/>
          <w:b/>
          <w:color w:val="00000A"/>
          <w:sz w:val="22"/>
          <w:szCs w:val="22"/>
          <w:lang w:eastAsia="ru-RU"/>
        </w:rPr>
        <w:t>цена за троих человек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  <w:t>В стоимость номера входит: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Размещение в номере выбранной категории.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 xml:space="preserve">Питание: завтрак, ужин 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 xml:space="preserve">Пользование  бассейном (шезлонги и шатры у бассейна, пляжные полотенца) 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2 детских  площадки с горками, качелями в отеле «Камелот» и «Альпийская Долина».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Использование в ресторане детского стульчика.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Бесплатный Wi-Fi на территории отеля.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Свободное пользование нардами/шахматами /шашки.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Пользование настольным теннисом.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Охраняемая стоянка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детской кроватки (детям до 3-х лет)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Мини парфюмерия в номерах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  <w:t>Услуги которые предоставляются за отдельную плату: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СПА-центр «Арго»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Сауна, хаммам, джакузи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Ресторан «Арго», ресторан «Камелот», кафе «Альпийская Долина»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Тренажерный зал «Арго»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машины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Аренда машины с водителем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Услуги няни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Услуги фотографа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Услуги парикмахера, маникюр, педикюр,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детской коляски ( по предварительному запросу),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DVD,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Трансфер по Крыму.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Экскурсии по достопримечательностям Крыма.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  <w:t>Тарифы  на проживание в отеле «Альпийская Долина»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  <w:t>(за номер) в рублях в  2016 г.</w:t>
      </w:r>
    </w:p>
    <w:tbl>
      <w:tblPr>
        <w:jc w:val="center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0" w:type="dxa"/>
          <w:left w:w="58" w:type="dxa"/>
          <w:bottom w:w="0" w:type="dxa"/>
          <w:right w:w="108" w:type="dxa"/>
        </w:tblCellMar>
      </w:tblPr>
      <w:tblGrid>
        <w:gridCol w:w="3785"/>
        <w:gridCol w:w="2533"/>
        <w:gridCol w:w="2094"/>
      </w:tblGrid>
      <w:tr>
        <w:trPr>
          <w:trHeight w:val="532" w:hRule="atLeast"/>
          <w:cantSplit w:val="false"/>
        </w:trPr>
        <w:tc>
          <w:tcPr>
            <w:tcW w:w="37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Категории номеров 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(завтрак) BB</w:t>
            </w:r>
          </w:p>
        </w:tc>
        <w:tc>
          <w:tcPr>
            <w:tcW w:w="2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Оздоровительный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сезон</w:t>
            </w:r>
          </w:p>
        </w:tc>
        <w:tc>
          <w:tcPr>
            <w:tcW w:w="2094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Курортный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сезон</w:t>
            </w:r>
          </w:p>
        </w:tc>
      </w:tr>
      <w:tr>
        <w:trPr>
          <w:trHeight w:val="360" w:hRule="atLeast"/>
          <w:cantSplit w:val="false"/>
        </w:trPr>
        <w:tc>
          <w:tcPr>
            <w:tcW w:w="3785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533" w:type="dxa"/>
            <w:vMerge w:val="restart"/>
            <w:tcBorders>
              <w:top w:val="nil"/>
              <w:left w:val="single" w:sz="8" w:space="0" w:color="00000A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1.06-14.06  11.09-30.09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15.06-10.09</w:t>
            </w:r>
          </w:p>
        </w:tc>
      </w:tr>
      <w:tr>
        <w:trPr>
          <w:trHeight w:val="269" w:hRule="atLeast"/>
          <w:cantSplit w:val="false"/>
        </w:trPr>
        <w:tc>
          <w:tcPr>
            <w:tcW w:w="3785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533" w:type="dxa"/>
            <w:vMerge w:val="continue"/>
            <w:tcBorders>
              <w:top w:val="nil"/>
              <w:left w:val="single" w:sz="8" w:space="0" w:color="00000A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094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273" w:hRule="atLeast"/>
          <w:cantSplit w:val="false"/>
        </w:trPr>
        <w:tc>
          <w:tcPr>
            <w:tcW w:w="3785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 чел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 чел</w:t>
            </w:r>
          </w:p>
        </w:tc>
      </w:tr>
      <w:tr>
        <w:trPr>
          <w:trHeight w:val="455" w:hRule="atLeast"/>
          <w:cantSplit w:val="false"/>
        </w:trPr>
        <w:tc>
          <w:tcPr>
            <w:tcW w:w="3785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Стандарт  (2-х местный)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3700</w:t>
            </w:r>
          </w:p>
        </w:tc>
      </w:tr>
      <w:tr>
        <w:trPr>
          <w:trHeight w:val="391" w:hRule="atLeast"/>
          <w:cantSplit w:val="false"/>
        </w:trPr>
        <w:tc>
          <w:tcPr>
            <w:tcW w:w="3785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Комфорт  (2-х местный)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4000</w:t>
            </w:r>
          </w:p>
        </w:tc>
      </w:tr>
      <w:tr>
        <w:trPr>
          <w:trHeight w:val="397" w:hRule="atLeast"/>
          <w:cantSplit w:val="false"/>
        </w:trPr>
        <w:tc>
          <w:tcPr>
            <w:tcW w:w="3785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Улучшенный  (2-х местный)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4300</w:t>
            </w:r>
          </w:p>
        </w:tc>
      </w:tr>
      <w:tr>
        <w:trPr>
          <w:trHeight w:val="397" w:hRule="atLeast"/>
          <w:cantSplit w:val="false"/>
        </w:trPr>
        <w:tc>
          <w:tcPr>
            <w:tcW w:w="3785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Люкс (3-х местный)*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5000*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6500*</w:t>
            </w:r>
          </w:p>
        </w:tc>
      </w:tr>
      <w:tr>
        <w:trPr>
          <w:trHeight w:val="275" w:hRule="atLeast"/>
          <w:cantSplit w:val="false"/>
        </w:trPr>
        <w:tc>
          <w:tcPr>
            <w:tcW w:w="3785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Аппартаменты (3-х местный)*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6000*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7500*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eastAsia="Times New Roman" w:ascii="Times New Roman" w:hAnsi="Times New Roman"/>
          <w:vanish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vanish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  <w:r>
        <w:pict>
          <v:rect fillcolor="#FFFFFF" strokecolor="#000000" strokeweight="0pt" style="position:absolute;width:381.05pt;height:72.3pt;mso-wrap-distance-left:9pt;mso-wrap-distance-right:9pt;mso-wrap-distance-top:0pt;mso-wrap-distance-bottom:0pt;margin-top:4.2pt;margin-left:76.6pt">
            <v:textbox inset="0in,0in,0in,0in">
              <w:txbxContent>
                <w:tbl>
                  <w:tblPr>
                    <w:jc w:val="left"/>
                    <w:tblInd w:w="8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1"/>
                      <w:insideH w:val="single" w:sz="4" w:space="0" w:color="000001"/>
                      <w:right w:val="single" w:sz="4" w:space="0" w:color="000001"/>
                      <w:insideV w:val="single" w:sz="4" w:space="0" w:color="000001"/>
                    </w:tblBorders>
                    <w:tblCellMar>
                      <w:top w:w="0" w:type="dxa"/>
                      <w:left w:w="83" w:type="dxa"/>
                      <w:bottom w:w="0" w:type="dxa"/>
                      <w:right w:w="108" w:type="dxa"/>
                    </w:tblCellMar>
                  </w:tblPr>
                  <w:tblGrid>
                    <w:gridCol w:w="2572"/>
                    <w:gridCol w:w="2207"/>
                    <w:gridCol w:w="2842"/>
                  </w:tblGrid>
                  <w:tr>
                    <w:trPr>
                      <w:trHeight w:val="567" w:hRule="atLeast"/>
                      <w:cantSplit w:val="false"/>
                    </w:trPr>
                    <w:tc>
                      <w:tcPr>
                        <w:tcW w:w="257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eastAsia="ru-RU"/>
                          </w:rPr>
                          <w:t xml:space="preserve">Доп место </w:t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Оздоровительный  сезон</w:t>
                        </w:r>
                      </w:p>
                    </w:tc>
                    <w:tc>
                      <w:tcPr>
                        <w:tcW w:w="2842" w:type="dxa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insideH w:val="nil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Курортный</w:t>
                        </w:r>
                      </w:p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сезон</w:t>
                        </w:r>
                      </w:p>
                    </w:tc>
                  </w:tr>
                  <w:tr>
                    <w:trPr>
                      <w:trHeight w:val="154" w:hRule="atLeast"/>
                      <w:cantSplit w:val="false"/>
                    </w:trPr>
                    <w:tc>
                      <w:tcPr>
                        <w:tcW w:w="7621" w:type="dxa"/>
                        <w:gridSpan w:val="3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Дети до 6 лет бесплатно без питания и места</w:t>
                        </w:r>
                      </w:p>
                    </w:tc>
                  </w:tr>
                  <w:tr>
                    <w:trPr>
                      <w:trHeight w:val="313" w:hRule="atLeast"/>
                      <w:cantSplit w:val="false"/>
                    </w:trPr>
                    <w:tc>
                      <w:tcPr>
                        <w:tcW w:w="257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6 до 12</w:t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                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284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1300</w:t>
                        </w:r>
                      </w:p>
                    </w:tc>
                  </w:tr>
                  <w:tr>
                    <w:trPr>
                      <w:trHeight w:val="313" w:hRule="atLeast"/>
                      <w:cantSplit w:val="false"/>
                    </w:trPr>
                    <w:tc>
                      <w:tcPr>
                        <w:tcW w:w="257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bookmarkStart w:id="6" w:name="__UnoMark__2111_702560743"/>
                        <w:bookmarkStart w:id="7" w:name="__UnoMark__2112_702560743"/>
                        <w:bookmarkEnd w:id="6"/>
                        <w:bookmarkEnd w:id="7"/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с 12  (взрослый)</w:t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bookmarkStart w:id="8" w:name="__UnoMark__2113_702560743"/>
                        <w:bookmarkStart w:id="9" w:name="__UnoMark__2114_702560743"/>
                        <w:bookmarkEnd w:id="8"/>
                        <w:bookmarkEnd w:id="9"/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284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uppressAutoHyphens w:val="false"/>
                          <w:spacing w:lineRule="auto" w:line="240" w:before="0" w:after="0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bookmarkStart w:id="10" w:name="__UnoMark__2115_702560743"/>
                        <w:bookmarkEnd w:id="10"/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1500</w:t>
                        </w:r>
                      </w:p>
                    </w:tc>
                  </w:tr>
                </w:tbl>
                <w:p>
                  <w:pPr>
                    <w:pStyle w:val="Style25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2"/>
          <w:szCs w:val="22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2"/>
          <w:szCs w:val="22"/>
          <w:lang w:eastAsia="ru-RU"/>
        </w:rPr>
        <w:t>* - цена за троих человек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  <w:t>В стоимость номера входит: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Размещение в номере выбранной категории.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Питание: завтрак.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2 детских  площадки с горками, качелями в отеле «Камелот» и «Альпийская Долина».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Использование в кафе детского стульчика.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Бесплатный Wi-Fi на территории отеля.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Свободное пользование нардами/шахматами /шашки.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Охраняемая стоянка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детской кроватки (детям до 3-х лет)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Мини парфюмерия в номерах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0"/>
          <w:szCs w:val="20"/>
          <w:lang w:eastAsia="ru-RU"/>
        </w:rPr>
        <w:t>Услуги которые предоставляются за отдельную плату: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СПА-центр «Арго»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Сауна, хаммам, джакузи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Ресторан «Арго», ресторан «Камелот», кафе «Альпийская Долина»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Тренажерный зал «Арго»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машины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Аренда машины с водителем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Услуги няни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Услуги фотографа (по предварительному запросу)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Услуги парикмахера, маникюр, педикюр,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ind w:left="720" w:right="0" w:hanging="3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детской коляски (по предварительному запросу),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Прокат DVD,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Трансфер по Крыму.</w:t>
      </w:r>
    </w:p>
    <w:p>
      <w:pPr>
        <w:pStyle w:val="Normal"/>
        <w:widowControl w:val="false"/>
        <w:numPr>
          <w:ilvl w:val="0"/>
          <w:numId w:val="6"/>
        </w:numPr>
        <w:suppressAutoHyphens w:val="false"/>
        <w:spacing w:lineRule="auto" w:line="240" w:before="0" w:after="60"/>
        <w:rPr>
          <w:rFonts w:eastAsia="Times New Roman" w:ascii="Times New Roman" w:hAnsi="Times New Roman"/>
          <w:color w:val="00000A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A"/>
          <w:sz w:val="20"/>
          <w:szCs w:val="20"/>
          <w:lang w:eastAsia="ru-RU"/>
        </w:rPr>
        <w:t>Экскурсии по достопримечательностям Крыма.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Кол-во основных и дополнительных мест в номерах отелей: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992880" cy="3155315"/>
            <wp:effectExtent l="0" t="0" r="0" b="0"/>
            <wp:wrapSquare wrapText="largest"/>
            <wp:docPr id="0" name="Picture" descr="OLE-объ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OLE-объект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31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 к Договору № 2 от 26.02.2016г.</w:t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Квота и график платежей.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предоставляет в Агенту на реализацию в мягкую квоту в период с 01.06.2016 по 30.09.2016 след номера: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ВИЛЛА "АРГО"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стандарт А -3 номера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стандарт В - 3 номера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3-местный стандарт С - 2 номера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  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ОТЕЛЬ "КАМЕЛОТ"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стандарт 1 - 7 номера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стандарт 2 - 5 номера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стандарт 3 - 3 номера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ЭКО "АЛЬПИЙСКАЯ ДОЛИНА"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стандарт - 5 номер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комфорт - 5 номеров</w:t>
      </w:r>
    </w:p>
    <w:p>
      <w:pPr>
        <w:pStyle w:val="Normal"/>
        <w:shd w:fill="FFFFFF" w:val="clear"/>
        <w:suppressAutoHyphens w:val="false"/>
        <w:spacing w:lineRule="auto" w:line="240" w:before="0" w:after="0"/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>2-местный улучшенный - 5 номера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сумма Договора составляет:  25 500 000,00 рублей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предоплаты составляет: 4 000 000,00 рублей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оплат:</w:t>
      </w:r>
    </w:p>
    <w:p>
      <w:pPr>
        <w:pStyle w:val="Normal"/>
        <w:ind w:left="-454" w:right="0" w:hanging="0"/>
        <w:rPr>
          <w:rFonts w:cs="Arial"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1 000 000,00 руб - до 07.03.2016</w:t>
      </w:r>
      <w:r>
        <w:rPr>
          <w:rFonts w:cs="Arial" w:ascii="Times New Roman" w:hAnsi="Times New Roman"/>
          <w:color w:val="000000"/>
          <w:sz w:val="24"/>
          <w:szCs w:val="24"/>
        </w:rPr>
        <w:br/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1 000 000,00 руб - до 07.04.2016</w:t>
      </w:r>
      <w:r>
        <w:rPr>
          <w:rFonts w:cs="Arial" w:ascii="Times New Roman" w:hAnsi="Times New Roman"/>
          <w:color w:val="000000"/>
          <w:sz w:val="24"/>
          <w:szCs w:val="24"/>
        </w:rPr>
        <w:br/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1 000 000,00 руб - до 11.05.2016</w:t>
      </w:r>
      <w:r>
        <w:rPr>
          <w:rFonts w:cs="Arial" w:ascii="Times New Roman" w:hAnsi="Times New Roman"/>
          <w:color w:val="000000"/>
          <w:sz w:val="24"/>
          <w:szCs w:val="24"/>
        </w:rPr>
        <w:br/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1 000 000,00 руб - до 06.06.2016</w:t>
      </w:r>
    </w:p>
    <w:p>
      <w:pPr>
        <w:pStyle w:val="Normal"/>
        <w:ind w:left="-454" w:right="0" w:hanging="0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>
        <w:rPr>
          <w:rFonts w:ascii="Times New Roman" w:hAnsi="Times New Roman"/>
          <w:b/>
          <w:sz w:val="24"/>
          <w:szCs w:val="24"/>
        </w:rPr>
        <w:t>Релиз-период  - 14 дней(за четырнадцать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276" w:right="426" w:header="0" w:top="2810" w:footer="0" w:bottom="567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>Принципал ____________________</w:t>
      <w:tab/>
      <w:t xml:space="preserve">                                             Агент____________________</w:t>
    </w:r>
  </w:p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/>
    </w:pPr>
    <w:r>
      <w:rPr/>
      <w:drawing>
        <wp:anchor behindDoc="1" distT="0" distB="0" distL="114300" distR="118745" simplePos="0" locked="0" layoutInCell="1" allowOverlap="1" relativeHeight="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570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color w:val="00000A"/>
        <w:sz w:val="24"/>
        <w:i w:val="false"/>
        <w:b/>
        <w:iCs w:val="false"/>
        <w:bCs/>
      </w:rPr>
    </w:lvl>
    <w:lvl w:ilvl="2">
      <w:start w:val="1"/>
      <w:numFmt w:val="decimal"/>
      <w:lvlText w:val="%1.%2.%3."/>
      <w:lvlJc w:val="left"/>
      <w:pPr>
        <w:ind w:left="0" w:hanging="0"/>
      </w:pPr>
      <w:rPr>
        <w:color w:val="00000A"/>
        <w:sz w:val="24"/>
        <w:i w:val="false"/>
        <w:b/>
        <w:iCs w:val="false"/>
        <w:bCs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3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911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Style14" w:customStyle="1">
    <w:name w:val="Верхний колонтитул Знак"/>
    <w:uiPriority w:val="99"/>
    <w:qFormat/>
    <w:rsid w:val="00a3668d"/>
    <w:basedOn w:val="DefaultParagraphFont"/>
    <w:rPr/>
  </w:style>
  <w:style w:type="character" w:styleId="Style15" w:customStyle="1">
    <w:name w:val="Нижний колонтитул Знак"/>
    <w:uiPriority w:val="99"/>
    <w:qFormat/>
    <w:rsid w:val="00a3668d"/>
    <w:basedOn w:val="DefaultParagraphFont"/>
    <w:rPr/>
  </w:style>
  <w:style w:type="character" w:styleId="Style16" w:customStyle="1">
    <w:name w:val="Текст выноски Знак"/>
    <w:uiPriority w:val="99"/>
    <w:qFormat/>
    <w:semiHidden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/>
      <w:bCs/>
      <w:i w:val="false"/>
      <w:iCs w:val="false"/>
      <w:color w:val="00000A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4" w:customStyle="1">
    <w:name w:val="ListLabel 4"/>
    <w:qFormat/>
    <w:rPr>
      <w:rFonts w:ascii="Times New Roman" w:hAnsi="Times New Roman" w:cs="Symbol"/>
      <w:b/>
      <w:sz w:val="24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8" w:customStyle="1">
    <w:name w:val="ListLabel 8"/>
    <w:qFormat/>
    <w:rPr>
      <w:rFonts w:ascii="Times New Roman" w:hAnsi="Times New Roman" w:cs="Symbol"/>
      <w:b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12" w:customStyle="1">
    <w:name w:val="ListLabel 12"/>
    <w:qFormat/>
    <w:rPr>
      <w:rFonts w:ascii="Times New Roman" w:hAnsi="Times New Roman" w:cs="Symbol"/>
      <w:b/>
      <w:sz w:val="24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rPr>
      <w:b/>
      <w:bCs/>
      <w:i w:val="false"/>
      <w:iCs w:val="false"/>
      <w:color w:val="00000A"/>
      <w:sz w:val="24"/>
    </w:rPr>
  </w:style>
  <w:style w:type="character" w:styleId="ListLabel16" w:customStyle="1">
    <w:name w:val="ListLabel 16"/>
    <w:rPr>
      <w:rFonts w:cs="Symbol"/>
      <w:b/>
      <w:sz w:val="24"/>
    </w:rPr>
  </w:style>
  <w:style w:type="character" w:styleId="ListLabel17" w:customStyle="1">
    <w:name w:val="ListLabel 17"/>
    <w:rPr>
      <w:rFonts w:cs="Courier New"/>
    </w:rPr>
  </w:style>
  <w:style w:type="character" w:styleId="ListLabel18" w:customStyle="1">
    <w:name w:val="ListLabel 18"/>
    <w:rPr>
      <w:rFonts w:cs="Wingdings"/>
    </w:rPr>
  </w:style>
  <w:style w:type="character" w:styleId="ListLabel19" w:customStyle="1">
    <w:name w:val="ListLabel 19"/>
    <w:rPr>
      <w:b/>
      <w:bCs/>
      <w:i w:val="false"/>
      <w:iCs w:val="false"/>
      <w:color w:val="00000A"/>
      <w:sz w:val="24"/>
    </w:rPr>
  </w:style>
  <w:style w:type="character" w:styleId="ListLabel20" w:customStyle="1">
    <w:name w:val="ListLabel 20"/>
    <w:rPr>
      <w:rFonts w:cs="Symbol"/>
      <w:b/>
      <w:sz w:val="24"/>
    </w:rPr>
  </w:style>
  <w:style w:type="character" w:styleId="ListLabel21" w:customStyle="1">
    <w:name w:val="ListLabel 21"/>
    <w:rPr>
      <w:rFonts w:cs="Courier New"/>
    </w:rPr>
  </w:style>
  <w:style w:type="character" w:styleId="ListLabel22" w:customStyle="1">
    <w:name w:val="ListLabel 22"/>
    <w:rPr>
      <w:rFonts w:cs="Wingdings"/>
    </w:rPr>
  </w:style>
  <w:style w:type="character" w:styleId="FontStyle18" w:customStyle="1">
    <w:name w:val="Font Style18"/>
    <w:rPr>
      <w:rFonts w:ascii="Times New Roman" w:hAnsi="Times New Roman" w:cs="Times New Roman"/>
      <w:sz w:val="22"/>
      <w:szCs w:val="22"/>
    </w:rPr>
  </w:style>
  <w:style w:type="character" w:styleId="ListLabel23" w:customStyle="1">
    <w:name w:val="ListLabel 23"/>
    <w:rPr>
      <w:b/>
      <w:bCs/>
      <w:i w:val="false"/>
      <w:iCs w:val="false"/>
      <w:color w:val="00000A"/>
      <w:sz w:val="24"/>
    </w:rPr>
  </w:style>
  <w:style w:type="character" w:styleId="ListLabel24" w:customStyle="1">
    <w:name w:val="ListLabel 24"/>
    <w:rPr>
      <w:rFonts w:cs="Symbol"/>
      <w:b/>
      <w:sz w:val="24"/>
    </w:rPr>
  </w:style>
  <w:style w:type="character" w:styleId="ListLabel25" w:customStyle="1">
    <w:name w:val="ListLabel 25"/>
    <w:rPr>
      <w:rFonts w:cs="Courier New"/>
    </w:rPr>
  </w:style>
  <w:style w:type="character" w:styleId="ListLabel26" w:customStyle="1">
    <w:name w:val="ListLabel 26"/>
    <w:rPr>
      <w:rFonts w:cs="Wingdings"/>
    </w:rPr>
  </w:style>
  <w:style w:type="character" w:styleId="ListLabel27" w:customStyle="1">
    <w:name w:val="ListLabel 27"/>
    <w:rPr>
      <w:b/>
      <w:bCs/>
      <w:i w:val="false"/>
      <w:iCs w:val="false"/>
      <w:color w:val="00000A"/>
      <w:sz w:val="24"/>
    </w:rPr>
  </w:style>
  <w:style w:type="character" w:styleId="ListLabel28" w:customStyle="1">
    <w:name w:val="ListLabel 28"/>
    <w:rPr>
      <w:rFonts w:cs="Symbol"/>
      <w:b/>
      <w:sz w:val="24"/>
    </w:rPr>
  </w:style>
  <w:style w:type="character" w:styleId="ListLabel29" w:customStyle="1">
    <w:name w:val="ListLabel 29"/>
    <w:rPr>
      <w:rFonts w:cs="Courier New"/>
    </w:rPr>
  </w:style>
  <w:style w:type="character" w:styleId="ListLabel30" w:customStyle="1">
    <w:name w:val="ListLabel 30"/>
    <w:rPr>
      <w:rFonts w:cs="Wingdings"/>
    </w:rPr>
  </w:style>
  <w:style w:type="character" w:styleId="ListLabel31" w:customStyle="1">
    <w:name w:val="ListLabel 31"/>
    <w:rPr>
      <w:b/>
      <w:bCs/>
      <w:i w:val="false"/>
      <w:iCs w:val="false"/>
      <w:color w:val="00000A"/>
      <w:sz w:val="24"/>
    </w:rPr>
  </w:style>
  <w:style w:type="character" w:styleId="ListLabel32" w:customStyle="1">
    <w:name w:val="ListLabel 32"/>
    <w:rPr>
      <w:rFonts w:cs="Symbol"/>
      <w:b/>
      <w:sz w:val="24"/>
    </w:rPr>
  </w:style>
  <w:style w:type="character" w:styleId="ListLabel33" w:customStyle="1">
    <w:name w:val="ListLabel 33"/>
    <w:rPr>
      <w:rFonts w:cs="Courier New"/>
    </w:rPr>
  </w:style>
  <w:style w:type="character" w:styleId="ListLabel34" w:customStyle="1">
    <w:name w:val="ListLabel 34"/>
    <w:rPr>
      <w:rFonts w:cs="Wingdings"/>
    </w:rPr>
  </w:style>
  <w:style w:type="character" w:styleId="ListLabel35" w:customStyle="1">
    <w:name w:val="ListLabel 35"/>
    <w:rPr>
      <w:b/>
      <w:bCs/>
      <w:i w:val="false"/>
      <w:iCs w:val="false"/>
      <w:color w:val="00000A"/>
      <w:sz w:val="24"/>
    </w:rPr>
  </w:style>
  <w:style w:type="character" w:styleId="ListLabel36" w:customStyle="1">
    <w:name w:val="ListLabel 36"/>
    <w:rPr>
      <w:rFonts w:cs="Symbol"/>
      <w:b/>
      <w:sz w:val="24"/>
    </w:rPr>
  </w:style>
  <w:style w:type="character" w:styleId="ListLabel37" w:customStyle="1">
    <w:name w:val="ListLabel 37"/>
    <w:rPr>
      <w:rFonts w:cs="Courier New"/>
    </w:rPr>
  </w:style>
  <w:style w:type="character" w:styleId="ListLabel38" w:customStyle="1">
    <w:name w:val="ListLabel 38"/>
    <w:rPr>
      <w:rFonts w:cs="Wingdings"/>
    </w:rPr>
  </w:style>
  <w:style w:type="character" w:styleId="ListLabel39" w:customStyle="1">
    <w:name w:val="ListLabel 39"/>
    <w:rPr>
      <w:b/>
      <w:bCs/>
      <w:i w:val="false"/>
      <w:iCs w:val="false"/>
      <w:color w:val="00000A"/>
      <w:sz w:val="24"/>
    </w:rPr>
  </w:style>
  <w:style w:type="character" w:styleId="ListLabel40" w:customStyle="1">
    <w:name w:val="ListLabel 40"/>
    <w:rPr>
      <w:rFonts w:cs="Symbol"/>
      <w:b/>
      <w:sz w:val="24"/>
    </w:rPr>
  </w:style>
  <w:style w:type="character" w:styleId="ListLabel41" w:customStyle="1">
    <w:name w:val="ListLabel 41"/>
    <w:rPr>
      <w:rFonts w:cs="Courier New"/>
    </w:rPr>
  </w:style>
  <w:style w:type="character" w:styleId="ListLabel42" w:customStyle="1">
    <w:name w:val="ListLabel 42"/>
    <w:rPr>
      <w:rFonts w:cs="Wingdings"/>
    </w:rPr>
  </w:style>
  <w:style w:type="character" w:styleId="ListLabel43">
    <w:name w:val="ListLabel 43"/>
    <w:rPr>
      <w:b/>
      <w:bCs/>
      <w:i w:val="false"/>
      <w:iCs w:val="false"/>
      <w:color w:val="00000A"/>
      <w:sz w:val="24"/>
    </w:rPr>
  </w:style>
  <w:style w:type="character" w:styleId="ListLabel44">
    <w:name w:val="ListLabel 44"/>
    <w:rPr>
      <w:rFonts w:cs="Symbol"/>
      <w:b/>
      <w:sz w:val="24"/>
    </w:rPr>
  </w:style>
  <w:style w:type="character" w:styleId="ListLabel45">
    <w:name w:val="ListLabel 45"/>
    <w:rPr>
      <w:rFonts w:cs="Courier New"/>
    </w:rPr>
  </w:style>
  <w:style w:type="character" w:styleId="ListLabel46">
    <w:name w:val="ListLabel 46"/>
    <w:rPr>
      <w:rFonts w:cs="Wingdings"/>
    </w:rPr>
  </w:style>
  <w:style w:type="character" w:styleId="ListLabel47">
    <w:name w:val="ListLabel 47"/>
    <w:rPr>
      <w:b/>
      <w:bCs/>
      <w:i w:val="false"/>
      <w:iCs w:val="false"/>
      <w:color w:val="00000A"/>
      <w:sz w:val="24"/>
    </w:rPr>
  </w:style>
  <w:style w:type="character" w:styleId="ListLabel48">
    <w:name w:val="ListLabel 48"/>
    <w:rPr>
      <w:rFonts w:cs="Symbol"/>
      <w:b/>
      <w:sz w:val="24"/>
    </w:rPr>
  </w:style>
  <w:style w:type="character" w:styleId="ListLabel49">
    <w:name w:val="ListLabel 49"/>
    <w:rPr>
      <w:rFonts w:cs="Courier New"/>
    </w:rPr>
  </w:style>
  <w:style w:type="character" w:styleId="ListLabel50">
    <w:name w:val="ListLabel 50"/>
    <w:rPr>
      <w:rFonts w:cs="Wingdings"/>
    </w:rPr>
  </w:style>
  <w:style w:type="character" w:styleId="ListLabel51">
    <w:name w:val="ListLabel 51"/>
    <w:rPr>
      <w:rFonts w:cs="Symbol"/>
    </w:rPr>
  </w:style>
  <w:style w:type="character" w:styleId="ListLabel52">
    <w:name w:val="ListLabel 52"/>
    <w:rPr>
      <w:b/>
      <w:bCs/>
      <w:i w:val="false"/>
      <w:iCs w:val="false"/>
      <w:color w:val="00000A"/>
      <w:sz w:val="24"/>
    </w:rPr>
  </w:style>
  <w:style w:type="character" w:styleId="ListLabel53">
    <w:name w:val="ListLabel 53"/>
    <w:rPr>
      <w:rFonts w:cs="Symbol"/>
      <w:b/>
      <w:sz w:val="24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Symbol"/>
    </w:rPr>
  </w:style>
  <w:style w:type="character" w:styleId="ListLabel57">
    <w:name w:val="ListLabel 57"/>
    <w:rPr>
      <w:b/>
      <w:bCs/>
      <w:i w:val="false"/>
      <w:iCs w:val="false"/>
      <w:color w:val="00000A"/>
      <w:sz w:val="24"/>
    </w:rPr>
  </w:style>
  <w:style w:type="character" w:styleId="ListLabel58">
    <w:name w:val="ListLabel 58"/>
    <w:rPr>
      <w:rFonts w:cs="Symbol"/>
      <w:b/>
      <w:sz w:val="24"/>
    </w:rPr>
  </w:style>
  <w:style w:type="character" w:styleId="ListLabel59">
    <w:name w:val="ListLabel 59"/>
    <w:rPr>
      <w:rFonts w:cs="Courier New"/>
    </w:rPr>
  </w:style>
  <w:style w:type="character" w:styleId="ListLabel60">
    <w:name w:val="ListLabel 60"/>
    <w:rPr>
      <w:rFonts w:cs="Wingdings"/>
    </w:rPr>
  </w:style>
  <w:style w:type="character" w:styleId="ListLabel61">
    <w:name w:val="ListLabel 61"/>
    <w:rPr>
      <w:rFonts w:cs="Symbol"/>
    </w:rPr>
  </w:style>
  <w:style w:type="character" w:styleId="ListLabel62">
    <w:name w:val="ListLabel 62"/>
    <w:rPr>
      <w:b/>
      <w:bCs/>
      <w:i w:val="false"/>
      <w:iCs w:val="false"/>
      <w:color w:val="00000A"/>
      <w:sz w:val="24"/>
    </w:rPr>
  </w:style>
  <w:style w:type="character" w:styleId="ListLabel63">
    <w:name w:val="ListLabel 63"/>
    <w:rPr>
      <w:rFonts w:cs="Symbol"/>
      <w:b/>
      <w:sz w:val="24"/>
    </w:rPr>
  </w:style>
  <w:style w:type="character" w:styleId="ListLabel64">
    <w:name w:val="ListLabel 64"/>
    <w:rPr>
      <w:rFonts w:cs="Courier New"/>
    </w:rPr>
  </w:style>
  <w:style w:type="character" w:styleId="ListLabel65">
    <w:name w:val="ListLabel 65"/>
    <w:rPr>
      <w:rFonts w:cs="Wingdings"/>
    </w:rPr>
  </w:style>
  <w:style w:type="character" w:styleId="ListLabel66">
    <w:name w:val="ListLabel 66"/>
    <w:rPr>
      <w:rFonts w:cs="Symbol"/>
    </w:rPr>
  </w:style>
  <w:style w:type="paragraph" w:styleId="Style17" w:customStyle="1">
    <w:name w:val="Заголовок"/>
    <w:qFormat/>
    <w:basedOn w:val="Normal"/>
    <w:next w:val="Style1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FreeSans"/>
    </w:rPr>
  </w:style>
  <w:style w:type="paragraph" w:styleId="Style22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qFormat/>
    <w:basedOn w:val="Normal"/>
    <w:pPr>
      <w:suppressLineNumbers/>
    </w:pPr>
    <w:rPr>
      <w:rFonts w:cs="FreeSans"/>
    </w:rPr>
  </w:style>
  <w:style w:type="paragraph" w:styleId="Style23">
    <w:name w:val="Верх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qFormat/>
    <w:semiHidden/>
    <w:unhideWhenUsed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5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fe1add"/>
    <w:pPr>
      <w:spacing w:line="240" w:lineRule="auto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e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C8E0-DF33-4A77-840A-2CB6EA2A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2016-02-26T10:15:00Z</dcterms:created>
  <dc:creator>Maria Korikova</dc:creator>
  <dc:language>ru-RU</dc:language>
  <cp:lastModifiedBy>Арго2</cp:lastModifiedBy>
  <cp:lastPrinted>2015-03-01T12:03:00Z</cp:lastPrinted>
  <dcterms:modified xsi:type="dcterms:W3CDTF">2016-02-26T10:34:00Z</dcterms:modified>
  <cp:revision>3</cp:revision>
</cp:coreProperties>
</file>