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АГЕНТСКИЙ ДОГОВОР № 25/03/16</w:t>
      </w:r>
    </w:p>
    <w:p>
      <w:pPr>
        <w:pStyle w:val="Normal"/>
        <w:tabs>
          <w:tab w:val="left" w:pos="7371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Феодосия</w:t>
        <w:tab/>
        <w:t>«25» февраля  2016 года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«Библио-Глобус Русь», именуемое в дальнейшем «Агент», в лице Киселева Юрия Валерьевича, действующего на основании устава с одной стороны и, </w:t>
      </w:r>
      <w:r>
        <w:rPr>
          <w:rFonts w:ascii="Times New Roman" w:hAnsi="Times New Roman"/>
          <w:color w:val="00000A"/>
          <w:sz w:val="24"/>
          <w:szCs w:val="24"/>
        </w:rPr>
        <w:t>Индивидуальный предприниматель Муртазаев Ленмар Марленович, именуемое в дальнейшем «Принципал», в лице Муртазаева Ленмара Марленовича, действующего на основании свидетельства о постановке на учет физ.лица в налоговом органе, с другой стороны, совместно именуемые «Стороны», заключили</w:t>
      </w:r>
      <w:r>
        <w:rPr>
          <w:rFonts w:ascii="Times New Roman" w:hAnsi="Times New Roman"/>
          <w:sz w:val="24"/>
          <w:szCs w:val="24"/>
        </w:rPr>
        <w:t xml:space="preserve"> настоящий Договор, о нижеследующем: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ТЕРМИНЫ И ОПРЕДЕЛЕНИЯ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Объект размещения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color w:val="00000A"/>
          <w:sz w:val="24"/>
          <w:szCs w:val="24"/>
        </w:rPr>
        <w:t>гостевой дом «Крым», гостиница «Оттуз», расположенная по адресу: Республика Крым г. Феодосия, пгт. Курортное. Ул. Науки 7Д.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бронирование номеров/услуг</w:t>
      </w:r>
      <w:r>
        <w:rPr>
          <w:rFonts w:ascii="Times New Roman" w:hAnsi="Times New Roman"/>
          <w:sz w:val="24"/>
          <w:szCs w:val="24"/>
        </w:rPr>
        <w:t xml:space="preserve"> – письменный документ, направляемый Агентом Принципалу с целью бронирования номеров/услуг в Объекте размещения и получения подтверждения или отказа в подтверждении размещения клиентов и оказания услуг клиентам Агента в определенный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Подтвержденная заявка</w:t>
      </w:r>
      <w:r>
        <w:rPr>
          <w:rFonts w:ascii="Times New Roman" w:hAnsi="Times New Roman"/>
          <w:sz w:val="24"/>
          <w:szCs w:val="24"/>
        </w:rPr>
        <w:t xml:space="preserve"> – Заявка, в отношении которой Принципалом дано письменное согласие на размещение/оказание услуг Клиентам в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Клиент </w:t>
      </w:r>
      <w:r>
        <w:rPr>
          <w:rFonts w:ascii="Times New Roman" w:hAnsi="Times New Roman"/>
          <w:sz w:val="24"/>
          <w:szCs w:val="24"/>
        </w:rPr>
        <w:t>– физическое лицо, направляемое Агентом  в Объект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Гостиничные услуги </w:t>
      </w:r>
      <w:r>
        <w:rPr>
          <w:rFonts w:ascii="Times New Roman" w:hAnsi="Times New Roman"/>
          <w:sz w:val="24"/>
          <w:szCs w:val="24"/>
        </w:rPr>
        <w:t>– услуги по размещению и питанию, а также дополнительные услуги, включая, но не ограничиваясь, экскурсионные и услуги по перевозке, трансферу в аэропорт/на вокзал, услуги гидов-переводчиков, продажу билетов на все виды транспорта, вызов такси, прокат автомобилей, бронирование мест в ресторанах города, оказываемые Принципалом или сторонними организациями, но заказываемые Принципалом.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i/>
          <w:i/>
          <w:iCs/>
          <w:color w:val="9933FF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Мягкая Квота</w:t>
      </w:r>
      <w:r>
        <w:rPr>
          <w:rFonts w:ascii="Times New Roman" w:hAnsi="Times New Roman"/>
          <w:i/>
          <w:iCs/>
          <w:sz w:val="24"/>
          <w:szCs w:val="24"/>
        </w:rPr>
        <w:t xml:space="preserve"> — количество номеров определенной категории, которое Принципал гарантирует подтвердить Агенту до наступления Релиз-Периода.</w:t>
      </w:r>
      <w:r>
        <w:rPr>
          <w:rFonts w:ascii="Times New Roman" w:hAnsi="Times New Roman"/>
          <w:i/>
          <w:iCs/>
          <w:color w:val="9933FF"/>
          <w:sz w:val="24"/>
          <w:szCs w:val="24"/>
        </w:rPr>
        <w:t xml:space="preserve"> -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Релиз-период </w:t>
      </w:r>
      <w:r>
        <w:rPr>
          <w:rFonts w:ascii="Times New Roman" w:hAnsi="Times New Roman"/>
          <w:sz w:val="24"/>
          <w:szCs w:val="24"/>
        </w:rPr>
        <w:t>– количество суток до заезда Клиента в Гостиницу, при котором происходит высвобождение нереализованных номеров из квоты Агента Принципалом без применения штрафных санкций к Агенту. При этом высвобожденные номера могут подтверждаться Агентом только с согласия и подтверждения Принципала.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color w:val="FF33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Гарантированный депозит — </w:t>
      </w:r>
      <w:r>
        <w:rPr>
          <w:rFonts w:ascii="Times New Roman" w:hAnsi="Times New Roman"/>
          <w:i/>
          <w:iCs/>
          <w:sz w:val="24"/>
          <w:szCs w:val="24"/>
        </w:rPr>
        <w:t xml:space="preserve">сумма денежных средств, которую Агент обязуется перечислить Принципалу согласно графику платежей в счёт оплаты услуг по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Турпродукт </w:t>
      </w:r>
      <w:r>
        <w:rPr>
          <w:rFonts w:ascii="Times New Roman" w:hAnsi="Times New Roman"/>
          <w:sz w:val="24"/>
          <w:szCs w:val="24"/>
        </w:rPr>
        <w:t>– набор туристских услуг, сформированный и реализуемый Агентом, включающий основные элементы отдыха, такие как транспортировка Клиентов, размещение в гостинице и другие туристские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Электронные средства коммуникации </w:t>
      </w:r>
      <w:r>
        <w:rPr>
          <w:rFonts w:ascii="Times New Roman" w:hAnsi="Times New Roman"/>
          <w:sz w:val="24"/>
          <w:szCs w:val="24"/>
        </w:rPr>
        <w:t>– технические средства передачи информации, такие как факс, электронная почта, онлайн системы бронирования и др.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Агент, действуя от своего имени, обязуется принимать заявки Клиентов и его субагентов на услуги Принципала, оплатить эти услуги, а Принципал обязуется подтверждать и оказывать указанные Агентом 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Полный перечень услуг, входящих в стоимость проживания, цены на категории номеров, периоды их действия и Релиз-Период согласованы Сторонами в Приложении №1 и 2 к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Принципала, не указанные в Договоре и Приложениях к нему, будут считаться дополнительными и будут оказываться за дополнительную плату, определенную Сторонами и закрепленную дополнительным соглашением.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Клиентов в забронированные гостиничные номера осуществляется согласно правилам проживания в Объекте размещения, утвержденным Принципалом, и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i/>
          <w:i/>
          <w:iCs/>
          <w:color w:val="9933FF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Настоящий Договор является договором Мягкой Квоты с предоплатой</w:t>
      </w:r>
      <w:r>
        <w:rPr>
          <w:rFonts w:ascii="Times New Roman" w:hAnsi="Times New Roman"/>
          <w:i/>
          <w:iCs/>
          <w:color w:val="9933FF"/>
          <w:sz w:val="24"/>
          <w:szCs w:val="24"/>
        </w:rPr>
        <w:t>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ПОЛОЖЕНИЯ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обслуживания Принципалом Клиентов, привлекаемых Агентом, является Ваучер Агента (обменная путевка), в которой фиксируется перечень подтвержденных услуг.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изменения условий 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исполнения настоящего Договора Агент вправе заключать субагентские договоры, оставаясь ответственным за действия субагентов перед Принципалом.</w:t>
      </w:r>
    </w:p>
    <w:p>
      <w:pPr>
        <w:pStyle w:val="ListParagraph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И ПОРЯДОК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Бронирование номеров производится Принципалом на основании письменных заявок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обязан не позднее чем 24 часа направить ответ в адрес Агента, в противном случае заявка считается подтвержденной.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должна содержать: наименование Объекта размещения, Ф.И.О. Клиентов, даты рождения Клиентов, период заезда и выезда каждого Клиента, тип питания, категорию и количество номеров, дополнительные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Ref410172535"/>
      <w:bookmarkEnd w:id="0"/>
      <w:r>
        <w:rPr>
          <w:rFonts w:ascii="Times New Roman" w:hAnsi="Times New Roman"/>
          <w:sz w:val="24"/>
          <w:szCs w:val="24"/>
        </w:rPr>
        <w:t>Принципал гарантирует подтверждение заявки при соблюдении условий: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забронированных номеров в гостинице не превышает размер Квоты на период проживания, указанного в заявке.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суток между датой бронирования и датой заезда больше или равно Релиз-периоду, указанному в Приложении №2.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остальных случаях Принципал подтверждает заявку при наличии свободных номеров на условиях и по ценам настоящего Договора.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ИЗМЕНЕНИЯ И ОТМЕНЫ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" w:name="_Ref410172552"/>
      <w:bookmarkEnd w:id="1"/>
      <w:r>
        <w:rPr>
          <w:rFonts w:ascii="Times New Roman" w:hAnsi="Times New Roman"/>
          <w:sz w:val="24"/>
          <w:szCs w:val="24"/>
        </w:rPr>
        <w:t>В случае отмены бронирования позднее наступления Релиз-периода Принципал имеет право потребовать компенсацию от Агента в размере 1 (одних) суток проживания в забронированной категории номера и типе питания. Отмена бронирования ранее Релиз-периода компенсации не подлежит.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Изменения бронирования в части увеличении объема и видов услуг рассматривается Принципалом на условиях бронирования, определенных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_Ref410172535 \r \h </w:instrText>
      </w:r>
      <w:r>
        <w:fldChar w:fldCharType="separate"/>
      </w:r>
      <w:r>
        <w:t>4.4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Изменение бронирования в части сокращения объема и видов услуг рассматривается Принципалом на условиях отказа, определенных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Принципал вправе удерживать компенсацию, установленную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Договора, из средств, предоплаченных Агентом.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перечисленных Принципалу денежных средств осуществляется на основании Акта сверки взаимных расчетов в срок, согласованный Сторонами соответствующим Актом путем перечисления денежных средств на расчетный счет Агента, указанный в настоящем Договоре.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РАЗМЕЩЕНИЯ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Заселение Клиентов производится после </w:t>
      </w:r>
      <w:r>
        <w:rPr>
          <w:rFonts w:ascii="Times New Roman" w:hAnsi="Times New Roman"/>
          <w:color w:val="000000"/>
          <w:sz w:val="24"/>
          <w:szCs w:val="24"/>
        </w:rPr>
        <w:t>13:00 часов дня заезда. Объект размещения вправе требовать с Клиента оплату за раннее поселение без участия Агента по официальным опубликованным тарифам, установленным Объектом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Расчетное время выселения Клиентов из Объекта размещения до 12:00</w:t>
      </w:r>
      <w:r>
        <w:rPr>
          <w:rFonts w:ascii="Times New Roman" w:hAnsi="Times New Roman"/>
          <w:sz w:val="24"/>
          <w:szCs w:val="24"/>
        </w:rPr>
        <w:t xml:space="preserve"> дня выезда. Объект размещения вправе требовать с Клиента оплату за поздний выезд без участия Агента по официальным опубликованным тарифам, установленным Объектом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компенсирует Клиенту заселение позже расчетного часа, либо выселение ранее расчетного часа.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УСЛУГ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shd w:fill="FFFF99" w:val="clear"/>
        </w:rPr>
        <w:t>Стоимость услуг, оказываемых Принципалом Клиентам Агента по поступившим от Агента заявкам определяется тарифами, указанными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eastAsia="Times New Roman"/>
          <w:color w:val="000000"/>
          <w:sz w:val="24"/>
          <w:szCs w:val="24"/>
          <w:highlight w:val="yellow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shd w:fill="FFFF99" w:val="clear"/>
          <w:lang w:eastAsia="ru-RU"/>
        </w:rPr>
        <w:t xml:space="preserve">Все тарифы на услуги Принципала являются ценами нетто, указаны в рублях РФ, НДС не облагаются </w:t>
      </w:r>
      <w:r>
        <w:rPr>
          <w:rFonts w:eastAsia="Times New Roman" w:ascii="Times New Roman" w:hAnsi="Times New Roman"/>
          <w:i/>
          <w:iCs/>
          <w:color w:val="000000"/>
          <w:sz w:val="24"/>
          <w:szCs w:val="24"/>
          <w:shd w:fill="FFFF99" w:val="clear"/>
          <w:lang w:eastAsia="ru-RU"/>
        </w:rPr>
        <w:t xml:space="preserve">на основании применения Принципалом УСН </w:t>
      </w:r>
      <w:r>
        <w:rPr>
          <w:rFonts w:eastAsia="Times New Roman" w:ascii="Times New Roman" w:hAnsi="Times New Roman"/>
          <w:color w:val="000000"/>
          <w:sz w:val="24"/>
          <w:szCs w:val="24"/>
          <w:shd w:fill="FFFF99" w:val="clear"/>
          <w:lang w:eastAsia="ru-RU"/>
        </w:rPr>
        <w:t xml:space="preserve"> и действуют для граждан любой страны.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CCFF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Агент вправе самостоятельно назначать цену продажи услуг для третьих лиц. В этом случае Агент несет материальную и юридическую ответственность перед Клиентом за связанные с этим претензии.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 случае реализации услуг Принципала в составе Турпродукта Агент вправе устанавливать наценку по своему усмотрению.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несет ответственности по возмещению денежных затрат Клиента за оплаченные услуги, если Клиент в период обслуживания по своему желанию не воспользовался всеми или частью забронированных услуг.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highlight w:val="yellow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FFFF99" w:val="clear"/>
        </w:rPr>
        <w:t>Положения пункта 1 статьи 317.1. Гражданского Кодекса РФ к обязательствам Сторон по настоящему Агентскому Договору не применяются.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РАСЧЕТОВ УСЛУГ ПРИНЦИПАЛА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услуг по размещению осуществляется по согласованному Сторонами графику, указанному в Приложении №2 к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сумма предоставленных услуг Принципала превышает общую сумму оплат Агента, Агент обязан оплатить разницу до заезда Клиентов.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сумма предоставленных услуг Принципала менее общей суммы оплат Агента, Принципал обязан вернуть разницу Агенту в течении 15 (пятнадцать) календарных дней после подписания Акта сверки расчетов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дополнительные услуги, предоставляемые Принципалом в период проживания Клиента в Объекте размещения, оплачиваются по официально опубликованным тарифам Клиентом самостоятельно в кассу Объекта размещения в рублях РФ наличными денежными средствами, либо банковской картой.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ВОЗНАГРАЖДЕНИЕ АГЕНТА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  <w:shd w:fill="FFFF99" w:val="clear"/>
        </w:rPr>
        <w:t xml:space="preserve">Вознаграждением Агента является разница между ценой реализацией услуг Агента Клиентам и его субагентов и тарифами Принципала, указанными в Приложении №1. 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shd w:fill="FFFF99" w:val="clear"/>
        </w:rPr>
        <w:t>ПОРЯДОК ПРЕДОСТАВЛЕНИЯ ОТЧЕТНОСТИ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 w:val="false"/>
          <w:b w:val="false"/>
          <w:bCs/>
          <w:sz w:val="24"/>
          <w:szCs w:val="24"/>
          <w:highlight w:val="yellow"/>
          <w:lang w:val="ru-RU"/>
        </w:rPr>
      </w:pPr>
      <w:r>
        <w:rPr>
          <w:rFonts w:ascii="Times New Roman" w:hAnsi="Times New Roman"/>
          <w:b w:val="false"/>
          <w:bCs/>
          <w:sz w:val="24"/>
          <w:szCs w:val="24"/>
          <w:shd w:fill="FFFF99" w:val="clear"/>
          <w:lang w:val="ru-RU"/>
        </w:rPr>
        <w:t>Агент не позднее 10 рабочих</w:t>
      </w:r>
      <w:r>
        <w:rPr>
          <w:rFonts w:ascii="Times New Roman" w:hAnsi="Times New Roman"/>
          <w:bCs/>
          <w:sz w:val="24"/>
          <w:szCs w:val="24"/>
          <w:shd w:fill="FFFF99" w:val="clear"/>
        </w:rPr>
        <w:t xml:space="preserve"> </w:t>
      </w:r>
      <w:r>
        <w:rPr>
          <w:rFonts w:ascii="Times New Roman" w:hAnsi="Times New Roman"/>
          <w:b w:val="false"/>
          <w:bCs/>
          <w:sz w:val="24"/>
          <w:szCs w:val="24"/>
          <w:shd w:fill="FFFF99" w:val="clear"/>
          <w:lang w:val="ru-RU"/>
        </w:rPr>
        <w:t>дней, следующих за отчетным месяцем, предоставляет Принципалу отсканированные копии подписанного «Отчет АГЕНТА» (Приложение №3) о продажах путевок, сформированных по дате выезда</w:t>
      </w:r>
      <w:r>
        <w:rPr>
          <w:rFonts w:ascii="Times New Roman" w:hAnsi="Times New Roman"/>
          <w:bCs/>
          <w:sz w:val="24"/>
          <w:szCs w:val="24"/>
          <w:shd w:fill="FFFF99" w:val="clear"/>
        </w:rPr>
        <w:t xml:space="preserve"> </w:t>
      </w:r>
      <w:r>
        <w:rPr>
          <w:rFonts w:ascii="Times New Roman" w:hAnsi="Times New Roman"/>
          <w:b w:val="false"/>
          <w:bCs/>
          <w:sz w:val="24"/>
          <w:szCs w:val="24"/>
          <w:shd w:fill="FFFF99" w:val="clear"/>
          <w:lang w:val="ru-RU"/>
        </w:rPr>
        <w:t>(за месяц). Отчет АГЕНТА считается принятым Принципалом, если в течение 5</w:t>
      </w:r>
      <w:r>
        <w:rPr>
          <w:rFonts w:ascii="Times New Roman" w:hAnsi="Times New Roman"/>
          <w:bCs/>
          <w:sz w:val="24"/>
          <w:szCs w:val="24"/>
          <w:shd w:fill="FFFF99" w:val="clear"/>
        </w:rPr>
        <w:t xml:space="preserve"> </w:t>
      </w:r>
      <w:r>
        <w:rPr>
          <w:rFonts w:ascii="Times New Roman" w:hAnsi="Times New Roman"/>
          <w:b w:val="false"/>
          <w:bCs/>
          <w:sz w:val="24"/>
          <w:szCs w:val="24"/>
          <w:shd w:fill="FFFF99" w:val="clear"/>
          <w:lang w:val="ru-RU"/>
        </w:rPr>
        <w:t>рабочих</w:t>
      </w:r>
      <w:r>
        <w:rPr>
          <w:rFonts w:ascii="Times New Roman" w:hAnsi="Times New Roman"/>
          <w:bCs/>
          <w:sz w:val="24"/>
          <w:szCs w:val="24"/>
          <w:shd w:fill="FFFF99" w:val="clear"/>
        </w:rPr>
        <w:t xml:space="preserve"> </w:t>
      </w:r>
      <w:r>
        <w:rPr>
          <w:rFonts w:ascii="Times New Roman" w:hAnsi="Times New Roman"/>
          <w:b w:val="false"/>
          <w:bCs/>
          <w:sz w:val="24"/>
          <w:szCs w:val="24"/>
          <w:shd w:fill="FFFF99" w:val="clear"/>
          <w:lang w:val="ru-RU"/>
        </w:rPr>
        <w:t>дней с момента его получения Принципал не представит Агенту письменных возражений по содержанию отчета.</w:t>
      </w:r>
    </w:p>
    <w:p>
      <w:pPr>
        <w:pStyle w:val="ListParagraph"/>
        <w:ind w:left="0" w:right="0" w:hanging="0"/>
        <w:jc w:val="both"/>
        <w:rPr>
          <w:shd w:fill="FFFF99" w:val="clear"/>
        </w:rPr>
      </w:pPr>
      <w:r>
        <w:rPr>
          <w:shd w:fill="FFFF99" w:val="clear"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shd w:fill="FFFF99" w:val="clear"/>
        </w:rPr>
        <w:t>Не позднее 25 числа месяца, следующего за отчетным, стороны обязаны предоставить оригиналы документов, предоставленных ранее по электронным средствам коммуникации.</w:t>
      </w:r>
    </w:p>
    <w:p>
      <w:pPr>
        <w:pStyle w:val="ListParagraph"/>
        <w:ind w:left="0" w:right="0"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обязуется: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Агенту установленную Квоту номеров в соответствии с Приложением №2 к настоящему Договору.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Оказывать услуги в соответствии с действующими в Российской Федерации нормами, стандартами, правилами и законодательством.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обслуживание Клиентов Агента в объеме, установленном настоящим Договором.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Нести ответственность перед Агентом в размере убытков Агента, возникших в результате неисполнения Принципалом условий настоящего Договора.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поселении Клиента Агента в гостиничный номер более высокой категории оплата рассчитывается по цене указанной в заявке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поселении Клиента Агента в гостиничный номер более низкой категории будет произведен перерасчет в пользу Агента, а Принципал несет ответственность за любые претензии Клиента, связанные с непредоставлением оплаченной им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вправе: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Требовать от Клиентов Агента соблюдения установленного порядка и правил проживания в Объекте размещения, правил пожарной безопасности и бережного отношения к имуществу Принципала.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обязуется: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и в полном объеме оплачивать услуги, оказываемые Принципалом по настоящему Договору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Информировать Клиентов о требованиях, предъявляемых Принципалом к Клиентам, давать полную информацию об условиях проживания и объеме предоставляемых услуг.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вправе: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информацию и рекламные материалы, рекомендованные или предоставленные Принципалом.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в рамках продвижения услуг Принципала, обусловленных настоящим Договором, проводят совместные маркетинговые активности.</w:t>
      </w:r>
    </w:p>
    <w:p>
      <w:pPr>
        <w:pStyle w:val="ListParagraph"/>
        <w:numPr>
          <w:ilvl w:val="2"/>
          <w:numId w:val="1"/>
        </w:numPr>
        <w:jc w:val="both"/>
        <w:rPr>
          <w:rStyle w:val="FontStyle18"/>
          <w:highlight w:val="white"/>
        </w:rPr>
      </w:pPr>
      <w:r>
        <w:rPr>
          <w:rFonts w:ascii="Times New Roman" w:hAnsi="Times New Roman"/>
          <w:sz w:val="24"/>
          <w:szCs w:val="24"/>
        </w:rPr>
        <w:t>Реализовывать</w:t>
      </w:r>
      <w:r>
        <w:rPr>
          <w:rStyle w:val="FontStyle18"/>
          <w:shd w:fill="FFFFFF" w:val="clear"/>
        </w:rPr>
        <w:t xml:space="preserve"> дополнительный объем номерного фонда за пределами выделенной квоты номеров по тарифам, указанным в Приложении №1 к настоящему Договору, но только после письменного запроса Агентом и подтверждения Принципала. При этом дополнительный объем реализованного номерного фонда может быть оплачен Агентом из суммы предоплаты, сделанной  Принципалу по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Предлагать Клиентам, во время пребывания в Объекте размещения дополнительные услуги (экскурсии, трансферы и т.п.) на территории Объекта размещения по тарифам Агента и разместить информационный стенд с соответствующей информацией в холле Объекта размещения.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Материальный ущерб, причинённый Объекту размещения Клиентами, возмещается в полном объеме Клиентами непосредственно в Объекте размещения на основании Актов, составленных в установленном законодательством РФ порядке.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в следствии действий российских или иностранных официальных органов, делающих невозможным исполнение Принципалом своих обязательств.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Стороны несут ответственность в соответствии с действующим законодательством РФ.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Претензионный порядок разрешения споров: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и(или)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которая получила претензию, обязана ее рассмотреть и направить письменный мотивированный ответ другой стороне в течении десяти календарных дней с момента получения претензии.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</w:t>
      </w:r>
      <w:r>
        <w:rPr>
          <w:rFonts w:ascii="Times New Roman" w:hAnsi="Times New Roman"/>
          <w:color w:val="000000"/>
          <w:sz w:val="24"/>
          <w:szCs w:val="24"/>
        </w:rPr>
        <w:t>Арбитражном суде Республики Крым.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" w:name="_Ref410172365"/>
      <w:bookmarkEnd w:id="2"/>
      <w:r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и во время действия настоящего договора, 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 ухудшения конъюнктуры  туристского рынка, которые стороны не могли предвидеть или предотвратить.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При наступлении обстоятельств, указанных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>, каждая сторона должна без промедления известить о них в письменном виде другую сторону.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В случае наступления обстоятельств, предусмотренных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>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Если наступившие обстоятельства, перечисленные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При наступлении обстоятельств, указанных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Договора, стороны проводят сверку взаиморасчетов по фактически предоставленным услугам. Неиспользованные денежные средства, оплаченные Агентом согласно графику платежей или на других основаниях, возвращаются Агенту в течении 30 (тридцати) дней после даты наступления обстоятельств.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И ПОРЯДОК РАСТОРЖЕНИЯ ДОГОВОРА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будет действовать по «01</w:t>
      </w:r>
      <w:r>
        <w:rPr>
          <w:rFonts w:ascii="Times New Roman" w:hAnsi="Times New Roman"/>
          <w:color w:val="000000"/>
          <w:sz w:val="24"/>
          <w:szCs w:val="24"/>
        </w:rPr>
        <w:t xml:space="preserve">» октября </w:t>
      </w:r>
      <w:r>
        <w:rPr>
          <w:rFonts w:ascii="Times New Roman" w:hAnsi="Times New Roman"/>
          <w:sz w:val="24"/>
          <w:szCs w:val="24"/>
        </w:rPr>
        <w:t>2016 г., но в любом случае до полного исполнения Сторонами финансовых обязательств по данному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может быть расторгнут в 10-дневный срок с предварительным письменным уведомлением по инициативе любой из сторон в случаях: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обоюдному согласию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причине неисполнения, либо ненадлежащего исполнения какой-либо из сторон обязательств, предусмотренных настоящим Договором.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расторжения настоящего Договора неиспользованные денежные средства, оплаченные Агентом за Квоту номеров в соответствии с графиком платежей, возвращаются Агенту в течении 30 (тридцати) дней после даты расторжения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Досрочное расторжение настоящего Договора не освобождает Стороны от обязательств, возникших до момента его расторжения.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КОНФИДЕНЦИАЛЬНОСТЬ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Каждая из Сторон обязуется не использовать в целях, не связанных с исполнением настоящего Договора, и не раскрывать любым лицам (за исключением лиц указанных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_Ref410172479 \r \h </w:instrText>
      </w:r>
      <w:r>
        <w:fldChar w:fldCharType="separate"/>
      </w:r>
      <w:r>
        <w:t>16.2</w:t>
      </w:r>
      <w:r>
        <w:fldChar w:fldCharType="end"/>
      </w:r>
      <w:r>
        <w:rPr>
          <w:rFonts w:ascii="Times New Roman" w:hAnsi="Times New Roman"/>
          <w:sz w:val="24"/>
          <w:szCs w:val="24"/>
        </w:rPr>
        <w:t>) без предварительного письменного согласия другой Стороны любую информацию, которая составляет или могла бы составить коммерческую тайну. Подразумевается любая информация, которую Сторона считала бы при существующих обычаях делового оборота конфиденциальной, и раскрыла бы ее только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3" w:name="_Ref410172479"/>
      <w:bookmarkEnd w:id="3"/>
      <w:r>
        <w:rPr>
          <w:rFonts w:ascii="Times New Roman" w:hAnsi="Times New Roman"/>
          <w:sz w:val="24"/>
          <w:szCs w:val="24"/>
        </w:rPr>
        <w:t>Каждая из Сторон вправе раскрывать указанную коммерческую информацию: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аффилированным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юристам, аудиторам и агентам – в любом объеме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банку или иному финансовому учреждению – в объеме, необходимом для осуществления платежей по настоящему Договору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государственным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по выбору ликвидируемой Стороны переданы в государственный архив или уничтожены по соответствующему акту.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 из Сторон настоящего Договора обязана незамедлительно сообщить другой Стороне о допущенном ею,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двух идентичных экземплярах, имеющих равную юридическую силу, по одному для каждой из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Уведомления, сообщения, иные документы, направляемые Сторонами друг другу в связи с исполнением настоящего Договора, считаются переданными с даты получения Стороной, которой они адресованы.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Агентом товарного знака Принципала, частично либо полностью, на русском и/или английском языках в любой форме, связанной с печатной, радио-, теле- или Интернет-рекламой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механизмов Интернет-поиска,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подписания настоящего Договора все предварительные договоренности утрачивают силу.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обязательств сторон по старым адресам и банковским реквизитам до уведомления об их изменении считаются надлежащим исполненным.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  <w:r>
        <w:br w:type="page"/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tbl>
      <w:tblPr>
        <w:tblW w:w="9901" w:type="dxa"/>
        <w:jc w:val="left"/>
        <w:tblInd w:w="0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33" w:type="dxa"/>
          <w:bottom w:w="0" w:type="dxa"/>
          <w:right w:w="108" w:type="dxa"/>
        </w:tblCellMar>
      </w:tblPr>
      <w:tblGrid>
        <w:gridCol w:w="4991"/>
        <w:gridCol w:w="4909"/>
      </w:tblGrid>
      <w:tr>
        <w:trPr>
          <w:trHeight w:val="8213" w:hRule="atLeast"/>
        </w:trPr>
        <w:tc>
          <w:tcPr>
            <w:tcW w:w="4991" w:type="dxa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Принципал: ИП Муртазаев Л.М.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298187, г.Феодосия,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 Щебетовка, ул.Абдураимова, д.1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 298187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тел.+79780446005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эл.почта для отправки финансовых документов: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lenieb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 для отправки Листов бронирования: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lenieb@bk.ru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910800142774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314910234501883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РНКБ (ОАО) г.Москва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К/с 30101810400000000607 в ОПЕРУ МГТУ Банка России 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 40802810640800001001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043510607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910800142774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09" w:type="dxa"/>
            <w:tcBorders/>
            <w:shd w:fill="FFFFFF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Агент: ООО «Библио-Глобус Русь»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 123022, г. Москва, ул. Красная Пресня, д. 28, пом. № V, комната №1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 109028, г. Москва, Казарменный переулок, д.8, стр 3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7731447661 / 770301001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1137746426619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Акционерный Коммерческий Банк «АВАНГАРД» (ПАО АКБ «АВАНГАРД»)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 40702810900000032072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 30101810000000000201 в ОПЕРУ Московского ГТУ Банка России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044525201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ОКПО17583388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ОКАТО/ОКТМО 45286575000/45380000000</w:t>
            </w:r>
          </w:p>
        </w:tc>
      </w:tr>
      <w:tr>
        <w:trPr/>
        <w:tc>
          <w:tcPr>
            <w:tcW w:w="4991" w:type="dxa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имени Принципала: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09" w:type="dxa"/>
            <w:tcBorders/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имени Агента: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91" w:type="dxa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_________________________Муртазаев Л. М.</w:t>
            </w:r>
          </w:p>
        </w:tc>
        <w:tc>
          <w:tcPr>
            <w:tcW w:w="4909" w:type="dxa"/>
            <w:tcBorders/>
            <w:shd w:fill="FFFFFF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_____________________Киселев Ю. В.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91" w:type="dxa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909" w:type="dxa"/>
            <w:tcBorders/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Ген. директор</w:t>
            </w:r>
          </w:p>
        </w:tc>
      </w:tr>
      <w:tr>
        <w:trPr/>
        <w:tc>
          <w:tcPr>
            <w:tcW w:w="4991" w:type="dxa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909" w:type="dxa"/>
            <w:tcBorders/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№1 к Договору №</w:t>
      </w:r>
    </w:p>
    <w:p>
      <w:pPr>
        <w:pStyle w:val="Normal"/>
        <w:jc w:val="center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Тарифы указаны за номер в сутки (вариативное размещения на основных и дополнительных местах) в рублях РФ, </w:t>
      </w:r>
      <w:r>
        <w:rPr>
          <w:rFonts w:ascii="Times New Roman" w:hAnsi="Times New Roman"/>
          <w:b/>
          <w:sz w:val="24"/>
          <w:szCs w:val="24"/>
          <w:shd w:fill="FFFF99" w:val="clear"/>
        </w:rPr>
        <w:t>без НДС</w:t>
        <w:br/>
      </w:r>
      <w:r>
        <w:rPr>
          <w:rFonts w:ascii="Times New Roman" w:hAnsi="Times New Roman"/>
          <w:b/>
          <w:sz w:val="32"/>
          <w:szCs w:val="32"/>
        </w:rPr>
        <w:t>«Крым»</w:t>
      </w:r>
    </w:p>
    <w:tbl>
      <w:tblPr>
        <w:tblW w:w="9906" w:type="dxa"/>
        <w:jc w:val="left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1675"/>
        <w:gridCol w:w="1511"/>
        <w:gridCol w:w="1586"/>
        <w:gridCol w:w="1728"/>
        <w:gridCol w:w="1696"/>
        <w:gridCol w:w="1709"/>
      </w:tblGrid>
      <w:tr>
        <w:trPr>
          <w:trHeight w:val="445" w:hRule="atLeast"/>
        </w:trPr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b/>
                <w:b/>
                <w:color w:val="00000A"/>
              </w:rPr>
            </w:pPr>
            <w:r>
              <w:rPr>
                <w:rFonts w:ascii="Verdana" w:hAnsi="Verdana"/>
                <w:b/>
                <w:color w:val="00000A"/>
              </w:rPr>
              <w:t>Номера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b/>
                <w:b/>
                <w:color w:val="00000A"/>
              </w:rPr>
            </w:pPr>
            <w:r>
              <w:rPr>
                <w:rFonts w:ascii="Verdana" w:hAnsi="Verdana"/>
                <w:b/>
                <w:color w:val="00000A"/>
              </w:rPr>
              <w:t>май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b/>
                <w:b/>
                <w:color w:val="00000A"/>
              </w:rPr>
            </w:pPr>
            <w:r>
              <w:rPr>
                <w:rFonts w:ascii="Verdana" w:hAnsi="Verdana"/>
                <w:b/>
                <w:color w:val="00000A"/>
              </w:rPr>
              <w:t>июнь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b/>
                <w:b/>
                <w:color w:val="00000A"/>
              </w:rPr>
            </w:pPr>
            <w:r>
              <w:rPr>
                <w:rFonts w:ascii="Verdana" w:hAnsi="Verdana"/>
                <w:b/>
                <w:color w:val="00000A"/>
              </w:rPr>
              <w:t>июль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b/>
                <w:b/>
                <w:color w:val="00000A"/>
              </w:rPr>
            </w:pPr>
            <w:r>
              <w:rPr>
                <w:rFonts w:ascii="Verdana" w:hAnsi="Verdana"/>
                <w:b/>
                <w:color w:val="00000A"/>
              </w:rPr>
              <w:t>август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b/>
                <w:b/>
                <w:color w:val="00000A"/>
              </w:rPr>
            </w:pPr>
            <w:r>
              <w:rPr>
                <w:rFonts w:ascii="Verdana" w:hAnsi="Verdana"/>
                <w:b/>
                <w:color w:val="00000A"/>
              </w:rPr>
              <w:t>сентябрь</w:t>
            </w:r>
          </w:p>
        </w:tc>
      </w:tr>
      <w:tr>
        <w:trPr>
          <w:trHeight w:val="693" w:hRule="atLeast"/>
        </w:trPr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b/>
                <w:bCs/>
                <w:color w:val="00000A"/>
              </w:rPr>
              <w:t xml:space="preserve">Стандарт </w:t>
            </w:r>
            <w:r>
              <w:rPr>
                <w:rFonts w:ascii="Verdana" w:hAnsi="Verdana"/>
                <w:color w:val="00000A"/>
              </w:rPr>
              <w:t xml:space="preserve">на 3х взрослых или 2взр+2реб до 12 лет  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1200 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2000 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2400 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2000 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2000 </w:t>
            </w:r>
          </w:p>
        </w:tc>
      </w:tr>
      <w:tr>
        <w:trPr>
          <w:trHeight w:val="703" w:hRule="atLeast"/>
        </w:trPr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b/>
                <w:bCs/>
                <w:color w:val="00000A"/>
              </w:rPr>
              <w:t>Люкс 2- комн</w:t>
            </w:r>
            <w:r>
              <w:rPr>
                <w:rFonts w:ascii="Verdana" w:hAnsi="Verdana"/>
                <w:color w:val="00000A"/>
              </w:rPr>
              <w:t>. на 4х взр. или 3взр+2реб до 12 лет</w:t>
            </w:r>
          </w:p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1600 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2800 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3200 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2800 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2800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«Оттуз»</w:t>
      </w:r>
    </w:p>
    <w:tbl>
      <w:tblPr>
        <w:tblW w:w="9907" w:type="dxa"/>
        <w:jc w:val="left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1816"/>
        <w:gridCol w:w="1395"/>
        <w:gridCol w:w="1590"/>
        <w:gridCol w:w="1697"/>
        <w:gridCol w:w="1697"/>
        <w:gridCol w:w="1711"/>
      </w:tblGrid>
      <w:tr>
        <w:trPr>
          <w:trHeight w:val="445" w:hRule="atLeast"/>
        </w:trPr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b/>
                <w:b/>
                <w:color w:val="00000A"/>
              </w:rPr>
            </w:pPr>
            <w:r>
              <w:rPr>
                <w:rFonts w:ascii="Verdana" w:hAnsi="Verdana"/>
                <w:b/>
                <w:color w:val="00000A"/>
              </w:rPr>
              <w:t>Номера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b/>
                <w:b/>
                <w:color w:val="00000A"/>
              </w:rPr>
            </w:pPr>
            <w:r>
              <w:rPr>
                <w:rFonts w:ascii="Verdana" w:hAnsi="Verdana"/>
                <w:b/>
                <w:color w:val="00000A"/>
              </w:rPr>
              <w:t>май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b/>
                <w:b/>
                <w:color w:val="00000A"/>
              </w:rPr>
            </w:pPr>
            <w:r>
              <w:rPr>
                <w:rFonts w:ascii="Verdana" w:hAnsi="Verdana"/>
                <w:b/>
                <w:color w:val="00000A"/>
              </w:rPr>
              <w:t>июнь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b/>
                <w:b/>
                <w:color w:val="00000A"/>
              </w:rPr>
            </w:pPr>
            <w:r>
              <w:rPr>
                <w:rFonts w:ascii="Verdana" w:hAnsi="Verdana"/>
                <w:b/>
                <w:color w:val="00000A"/>
              </w:rPr>
              <w:t>июль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b/>
                <w:b/>
                <w:color w:val="00000A"/>
              </w:rPr>
            </w:pPr>
            <w:r>
              <w:rPr>
                <w:rFonts w:ascii="Verdana" w:hAnsi="Verdana"/>
                <w:b/>
                <w:color w:val="00000A"/>
              </w:rPr>
              <w:t>август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b/>
                <w:b/>
                <w:color w:val="00000A"/>
              </w:rPr>
            </w:pPr>
            <w:r>
              <w:rPr>
                <w:rFonts w:ascii="Verdana" w:hAnsi="Verdana"/>
                <w:b/>
                <w:color w:val="00000A"/>
              </w:rPr>
              <w:t>сентябрь</w:t>
            </w:r>
          </w:p>
        </w:tc>
      </w:tr>
      <w:tr>
        <w:trPr>
          <w:trHeight w:val="693" w:hRule="atLeast"/>
        </w:trPr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b/>
                <w:bCs/>
                <w:color w:val="00000A"/>
              </w:rPr>
              <w:t>Эконом</w:t>
            </w:r>
            <w:r>
              <w:rPr>
                <w:rFonts w:ascii="Verdana" w:hAnsi="Verdana"/>
                <w:color w:val="00000A"/>
              </w:rPr>
              <w:t xml:space="preserve"> на 3х взрослых или 2взр+2реб до 12 лет  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1200 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2000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2400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2000 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2000 </w:t>
            </w:r>
          </w:p>
        </w:tc>
      </w:tr>
      <w:tr>
        <w:trPr>
          <w:trHeight w:val="703" w:hRule="atLeast"/>
        </w:trPr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b/>
                <w:bCs/>
                <w:color w:val="00000A"/>
              </w:rPr>
              <w:t>Стандарт</w:t>
            </w:r>
            <w:r>
              <w:rPr>
                <w:rFonts w:ascii="Verdana" w:hAnsi="Verdana"/>
                <w:color w:val="00000A"/>
              </w:rPr>
              <w:t xml:space="preserve"> на 3х взр. или 2взр+2реб до 12 лет</w:t>
            </w:r>
          </w:p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1600 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2400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3040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2400 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2400 </w:t>
            </w:r>
          </w:p>
        </w:tc>
      </w:tr>
      <w:tr>
        <w:trPr>
          <w:trHeight w:val="557" w:hRule="atLeast"/>
        </w:trPr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b/>
                <w:bCs/>
                <w:color w:val="00000A"/>
              </w:rPr>
              <w:t>Улучшенный</w:t>
            </w:r>
            <w:r>
              <w:rPr>
                <w:rFonts w:ascii="Verdana" w:hAnsi="Verdana"/>
                <w:color w:val="00000A"/>
              </w:rPr>
              <w:t xml:space="preserve"> на 3х взр. или 2взр+2реб до 12 лет</w:t>
            </w:r>
          </w:p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2400 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3200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4000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3200 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3200 </w:t>
            </w:r>
          </w:p>
        </w:tc>
      </w:tr>
      <w:tr>
        <w:trPr>
          <w:trHeight w:val="557" w:hRule="atLeast"/>
        </w:trPr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b/>
                <w:bCs/>
                <w:color w:val="00000A"/>
              </w:rPr>
              <w:t>2-комнатный</w:t>
            </w:r>
            <w:r>
              <w:rPr>
                <w:rFonts w:ascii="Verdana" w:hAnsi="Verdana"/>
                <w:color w:val="00000A"/>
              </w:rPr>
              <w:t>. На 4х взр. или 2взр+2реб до 12 лет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2400 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3200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4000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3200 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uppressAutoHyphens w:val="false"/>
              <w:spacing w:before="0" w:after="0"/>
              <w:rPr>
                <w:rFonts w:ascii="Verdana" w:hAnsi="Verdana"/>
                <w:color w:val="00000A"/>
              </w:rPr>
            </w:pPr>
            <w:r>
              <w:rPr>
                <w:rFonts w:ascii="Verdana" w:hAnsi="Verdana"/>
                <w:color w:val="00000A"/>
              </w:rPr>
              <w:t xml:space="preserve">3200 </w:t>
            </w:r>
          </w:p>
        </w:tc>
      </w:tr>
    </w:tbl>
    <w:p>
      <w:pPr>
        <w:pStyle w:val="Normal"/>
        <w:tabs>
          <w:tab w:val="left" w:pos="1095" w:leader="none"/>
        </w:tabs>
        <w:suppressAutoHyphens w:val="false"/>
        <w:spacing w:lineRule="auto" w:line="240" w:before="0" w:after="0"/>
        <w:rPr>
          <w:rFonts w:ascii="Verdana" w:hAnsi="Verdana"/>
          <w:color w:val="00000A"/>
          <w:sz w:val="32"/>
          <w:szCs w:val="32"/>
        </w:rPr>
      </w:pPr>
      <w:r>
        <w:rPr>
          <w:rFonts w:ascii="Verdana" w:hAnsi="Verdana"/>
          <w:color w:val="00000A"/>
          <w:sz w:val="32"/>
          <w:szCs w:val="32"/>
        </w:rPr>
        <w:tab/>
      </w:r>
    </w:p>
    <w:p>
      <w:pPr>
        <w:pStyle w:val="Normal"/>
        <w:suppressAutoHyphens w:val="false"/>
        <w:spacing w:lineRule="auto" w:line="259" w:before="0" w:after="160"/>
        <w:rPr>
          <w:rFonts w:ascii="Verdana" w:hAnsi="Verdana"/>
          <w:color w:val="00000A"/>
        </w:rPr>
      </w:pPr>
      <w:r>
        <w:rPr>
          <w:rFonts w:ascii="Verdana" w:hAnsi="Verdana"/>
          <w:b/>
          <w:bCs/>
          <w:color w:val="00000A"/>
        </w:rPr>
        <w:t>В стоимость включено:</w:t>
      </w:r>
      <w:r>
        <w:rPr>
          <w:rFonts w:ascii="Verdana" w:hAnsi="Verdana"/>
          <w:color w:val="00000A"/>
        </w:rPr>
        <w:t xml:space="preserve"> проживание, пользование бассейном, WI-FI.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enter" w:pos="4677" w:leader="none"/>
          <w:tab w:val="center" w:pos="5103" w:leader="none"/>
          <w:tab w:val="right" w:pos="9355" w:leader="none"/>
        </w:tabs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ПРИЛОЖЕНИЕ №2 к Договору №</w:t>
      </w:r>
    </w:p>
    <w:p>
      <w:pPr>
        <w:pStyle w:val="ListParagraph"/>
        <w:ind w:left="0" w:right="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Квота и график платежей.</w:t>
      </w:r>
    </w:p>
    <w:p>
      <w:pPr>
        <w:pStyle w:val="Normal"/>
        <w:ind w:left="0" w:right="0" w:hanging="0"/>
        <w:rPr/>
      </w:pPr>
      <w:r>
        <w:rPr/>
        <w:t xml:space="preserve">Принципал предоставляет в Агенту на реализацию в мягкую квоту в период с 01.05.2016 по 30.09.2016 след номера: </w:t>
      </w:r>
    </w:p>
    <w:p>
      <w:pPr>
        <w:pStyle w:val="Normal"/>
        <w:ind w:left="0" w:right="0" w:hanging="0"/>
        <w:rPr/>
      </w:pPr>
      <w:r>
        <w:rPr>
          <w:u w:val="single"/>
        </w:rPr>
        <w:t>гостевой дом «Крым»</w:t>
      </w:r>
      <w:r>
        <w:rPr/>
        <w:t xml:space="preserve"> : 11 стандартных номеров  и 3 номера люкс ,общее количество 14 номеров. </w:t>
      </w:r>
    </w:p>
    <w:p>
      <w:pPr>
        <w:pStyle w:val="Normal"/>
        <w:ind w:left="0" w:right="0" w:hanging="0"/>
        <w:rPr/>
      </w:pPr>
      <w:r>
        <w:rPr>
          <w:u w:val="single"/>
        </w:rPr>
        <w:t xml:space="preserve">гостиница «Оттуз»: </w:t>
      </w:r>
      <w:bookmarkStart w:id="4" w:name="_GoBack"/>
      <w:bookmarkEnd w:id="4"/>
      <w:r>
        <w:rPr/>
        <w:t>2 номера эконом класса, 5 стандартных номеров, 2 улучшенных номера, 2 номера люкс без балкона, общее количество 11 номеров.</w:t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  <w:t>Примерная сумма Договора составляет: 8 797 200,00 рублей</w:t>
      </w:r>
    </w:p>
    <w:p>
      <w:pPr>
        <w:pStyle w:val="Normal"/>
        <w:ind w:left="0" w:right="0" w:hanging="0"/>
        <w:rPr/>
      </w:pPr>
      <w:r>
        <w:rPr/>
        <w:t>Сумма предоплаты составляет: 1 750 000,00 рублей</w:t>
      </w:r>
    </w:p>
    <w:p>
      <w:pPr>
        <w:pStyle w:val="Normal"/>
        <w:ind w:left="0" w:right="0" w:hanging="0"/>
        <w:rPr/>
      </w:pPr>
      <w:r>
        <w:rPr/>
        <w:t>График оплат:</w:t>
      </w:r>
    </w:p>
    <w:p>
      <w:pPr>
        <w:pStyle w:val="Normal"/>
        <w:ind w:left="0" w:right="0" w:hanging="0"/>
        <w:rPr/>
      </w:pPr>
      <w:r>
        <w:rPr/>
        <w:t>500 000,00 руб — до 15.03.2016</w:t>
      </w:r>
    </w:p>
    <w:p>
      <w:pPr>
        <w:pStyle w:val="Normal"/>
        <w:ind w:left="0" w:right="0" w:hanging="0"/>
        <w:rPr/>
      </w:pPr>
      <w:r>
        <w:rPr/>
        <w:t>500 000,00 руб — до 15.04.2016</w:t>
      </w:r>
    </w:p>
    <w:p>
      <w:pPr>
        <w:pStyle w:val="Normal"/>
        <w:ind w:left="0" w:right="0" w:hanging="0"/>
        <w:rPr/>
      </w:pPr>
      <w:r>
        <w:rPr/>
        <w:t>500 000,00 руб — до 15.05.2016</w:t>
      </w:r>
    </w:p>
    <w:p>
      <w:pPr>
        <w:pStyle w:val="Normal"/>
        <w:ind w:left="0" w:right="0" w:hanging="0"/>
        <w:rPr/>
      </w:pPr>
      <w:r>
        <w:rPr/>
        <w:t>250 000,00 руб — до 15.06.2016</w:t>
      </w:r>
    </w:p>
    <w:p>
      <w:pPr>
        <w:pStyle w:val="Normal"/>
        <w:ind w:left="0" w:right="0"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Релиз-период  - 7 дней(за семь дней до даты заезда нереализованные места из квоты Агента автоматически переходят в совместную реализацию с Принципалом и могут подтверждаться только с согласием и подтверждения Принципала)</w:t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424" w:header="0" w:top="2836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tabs>
        <w:tab w:val="center" w:pos="4677" w:leader="none"/>
        <w:tab w:val="right" w:pos="9355" w:leader="none"/>
        <w:tab w:val="right" w:pos="10206" w:leader="none"/>
      </w:tabs>
      <w:rPr>
        <w:sz w:val="20"/>
        <w:szCs w:val="20"/>
      </w:rPr>
    </w:pPr>
    <w:r>
      <w:rPr>
        <w:sz w:val="20"/>
        <w:szCs w:val="20"/>
      </w:rPr>
      <w:t xml:space="preserve">Принципал____________________                                      </w:t>
    </w:r>
    <w:r>
      <w:rPr>
        <w:sz w:val="20"/>
        <w:szCs w:val="20"/>
        <w:lang w:val="en-US"/>
      </w:rPr>
      <w:tab/>
      <w:t>Агент</w:t>
    </w:r>
    <w:r>
      <w:rPr>
        <w:sz w:val="20"/>
        <w:szCs w:val="20"/>
      </w:rPr>
      <w:t>____________________</w:t>
    </w:r>
  </w:p>
  <w:p>
    <w:pPr>
      <w:pStyle w:val="Style2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11</w:t>
    </w:r>
    <w:r>
      <w:fldChar w:fldCharType="end"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  <w:drawing>
        <wp:anchor behindDoc="1" distT="0" distB="0" distL="114300" distR="118745" simplePos="0" locked="0" layoutInCell="1" allowOverlap="1" relativeHeight="12">
          <wp:simplePos x="0" y="0"/>
          <wp:positionH relativeFrom="column">
            <wp:posOffset>-810260</wp:posOffset>
          </wp:positionH>
          <wp:positionV relativeFrom="paragraph">
            <wp:posOffset>0</wp:posOffset>
          </wp:positionV>
          <wp:extent cx="7560310" cy="1757045"/>
          <wp:effectExtent l="0" t="0" r="0" b="0"/>
          <wp:wrapNone/>
          <wp:docPr id="1" name="Picture" descr="Z:\Static\Design\BG branding\Egypt 2014\MARIA\Blank BG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Z:\Static\Design\BG branding\Egypt 2014\MARIA\Blank BG\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227"/>
        </w:tabs>
        <w:ind w:left="0" w:hanging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hanging="0"/>
      </w:pPr>
      <w:rPr>
        <w:sz w:val="24"/>
        <w:i w:val="false"/>
        <w:b/>
        <w:iCs w:val="false"/>
        <w:bCs/>
        <w:rFonts w:ascii="Times New Roman" w:hAnsi="Times New Roman"/>
        <w:color w:val="00000A"/>
      </w:rPr>
    </w:lvl>
    <w:lvl w:ilvl="2">
      <w:start w:val="1"/>
      <w:numFmt w:val="decimal"/>
      <w:lvlText w:val="%1.%2.%3."/>
      <w:lvlJc w:val="left"/>
      <w:pPr>
        <w:ind w:left="0" w:hanging="0"/>
      </w:pPr>
      <w:rPr>
        <w:sz w:val="24"/>
        <w:i w:val="false"/>
        <w:b/>
        <w:iCs w:val="false"/>
        <w:bCs/>
        <w:rFonts w:ascii="Times New Roman" w:hAnsi="Times New Roman"/>
        <w:color w:val="00000A"/>
      </w:r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117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a3668d"/>
    <w:rPr/>
  </w:style>
  <w:style w:type="character" w:styleId="Style15" w:customStyle="1">
    <w:name w:val="Нижний колонтитул Знак"/>
    <w:basedOn w:val="DefaultParagraphFont"/>
    <w:uiPriority w:val="99"/>
    <w:qFormat/>
    <w:rsid w:val="00a3668d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a3668d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b/>
      <w:bCs/>
      <w:i w:val="false"/>
      <w:iCs w:val="false"/>
      <w:color w:val="00000A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4" w:customStyle="1">
    <w:name w:val="ListLabel 4"/>
    <w:qFormat/>
    <w:rPr>
      <w:rFonts w:ascii="Times New Roman" w:hAnsi="Times New Roman" w:cs="Symbol"/>
      <w:b/>
      <w:sz w:val="24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8" w:customStyle="1">
    <w:name w:val="ListLabel 8"/>
    <w:qFormat/>
    <w:rPr>
      <w:rFonts w:ascii="Times New Roman" w:hAnsi="Times New Roman" w:cs="Symbol"/>
      <w:b/>
      <w:sz w:val="24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12" w:customStyle="1">
    <w:name w:val="ListLabel 12"/>
    <w:qFormat/>
    <w:rPr>
      <w:rFonts w:ascii="Times New Roman" w:hAnsi="Times New Roman" w:cs="Symbol"/>
      <w:b/>
      <w:sz w:val="24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b/>
      <w:bCs/>
      <w:i w:val="false"/>
      <w:iCs w:val="false"/>
      <w:color w:val="00000A"/>
      <w:sz w:val="24"/>
    </w:rPr>
  </w:style>
  <w:style w:type="character" w:styleId="ListLabel16" w:customStyle="1">
    <w:name w:val="ListLabel 16"/>
    <w:qFormat/>
    <w:rPr>
      <w:rFonts w:cs="Symbol"/>
      <w:b/>
      <w:sz w:val="24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b/>
      <w:bCs/>
      <w:i w:val="false"/>
      <w:iCs w:val="false"/>
      <w:color w:val="00000A"/>
      <w:sz w:val="24"/>
    </w:rPr>
  </w:style>
  <w:style w:type="character" w:styleId="ListLabel20" w:customStyle="1">
    <w:name w:val="ListLabel 20"/>
    <w:qFormat/>
    <w:rPr>
      <w:rFonts w:cs="Symbol"/>
      <w:b/>
      <w:sz w:val="24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FontStyle18" w:customStyle="1">
    <w:name w:val="Font Style18"/>
    <w:qFormat/>
    <w:rPr>
      <w:rFonts w:ascii="Times New Roman" w:hAnsi="Times New Roman" w:cs="Times New Roman"/>
      <w:sz w:val="22"/>
      <w:szCs w:val="22"/>
    </w:rPr>
  </w:style>
  <w:style w:type="character" w:styleId="ListLabel23" w:customStyle="1">
    <w:name w:val="ListLabel 23"/>
    <w:qFormat/>
    <w:rPr>
      <w:b/>
      <w:bCs/>
      <w:i w:val="false"/>
      <w:iCs w:val="false"/>
      <w:color w:val="00000A"/>
      <w:sz w:val="24"/>
    </w:rPr>
  </w:style>
  <w:style w:type="character" w:styleId="ListLabel24" w:customStyle="1">
    <w:name w:val="ListLabel 24"/>
    <w:qFormat/>
    <w:rPr>
      <w:rFonts w:cs="Symbol"/>
      <w:b/>
      <w:sz w:val="24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>
    <w:name w:val="ListLabel 27"/>
    <w:qFormat/>
    <w:rPr>
      <w:b/>
      <w:bCs/>
      <w:i w:val="false"/>
      <w:iCs w:val="false"/>
      <w:color w:val="00000A"/>
      <w:sz w:val="24"/>
    </w:rPr>
  </w:style>
  <w:style w:type="character" w:styleId="ListLabel28">
    <w:name w:val="ListLabel 28"/>
    <w:qFormat/>
    <w:rPr>
      <w:rFonts w:cs="Symbol"/>
      <w:b/>
      <w:sz w:val="24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b/>
      <w:bCs/>
      <w:i w:val="false"/>
      <w:iCs w:val="false"/>
      <w:color w:val="00000A"/>
      <w:sz w:val="24"/>
    </w:rPr>
  </w:style>
  <w:style w:type="character" w:styleId="ListLabel32">
    <w:name w:val="ListLabel 32"/>
    <w:qFormat/>
    <w:rPr>
      <w:rFonts w:cs="Symbol"/>
      <w:b/>
      <w:sz w:val="24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b/>
      <w:bCs/>
      <w:i w:val="false"/>
      <w:iCs w:val="false"/>
      <w:color w:val="00000A"/>
      <w:sz w:val="24"/>
    </w:rPr>
  </w:style>
  <w:style w:type="character" w:styleId="ListLabel36">
    <w:name w:val="ListLabel 36"/>
    <w:qFormat/>
    <w:rPr>
      <w:rFonts w:cs="Symbol"/>
      <w:b/>
      <w:sz w:val="24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b/>
      <w:bCs/>
      <w:i w:val="false"/>
      <w:iCs w:val="false"/>
      <w:color w:val="00000A"/>
      <w:sz w:val="24"/>
    </w:rPr>
  </w:style>
  <w:style w:type="character" w:styleId="ListLabel40">
    <w:name w:val="ListLabel 40"/>
    <w:qFormat/>
    <w:rPr>
      <w:rFonts w:cs="Symbol"/>
      <w:b/>
      <w:sz w:val="24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b/>
      <w:bCs/>
      <w:i w:val="false"/>
      <w:iCs w:val="false"/>
      <w:color w:val="00000A"/>
      <w:sz w:val="24"/>
    </w:rPr>
  </w:style>
  <w:style w:type="character" w:styleId="ListLabel44">
    <w:name w:val="ListLabel 44"/>
    <w:qFormat/>
    <w:rPr>
      <w:rFonts w:cs="Symbol"/>
      <w:b/>
      <w:sz w:val="24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b/>
      <w:bCs/>
      <w:i w:val="false"/>
      <w:iCs w:val="false"/>
      <w:color w:val="00000A"/>
      <w:sz w:val="24"/>
    </w:rPr>
  </w:style>
  <w:style w:type="character" w:styleId="ListLabel48">
    <w:name w:val="ListLabel 48"/>
    <w:qFormat/>
    <w:rPr>
      <w:rFonts w:cs="Symbol"/>
      <w:b/>
      <w:sz w:val="24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b/>
      <w:bCs/>
      <w:i w:val="false"/>
      <w:iCs w:val="false"/>
      <w:color w:val="00000A"/>
      <w:sz w:val="24"/>
    </w:rPr>
  </w:style>
  <w:style w:type="character" w:styleId="ListLabel52">
    <w:name w:val="ListLabel 52"/>
    <w:qFormat/>
    <w:rPr>
      <w:rFonts w:cs="Symbol"/>
      <w:b/>
      <w:sz w:val="24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b/>
      <w:bCs/>
      <w:i w:val="false"/>
      <w:iCs w:val="false"/>
      <w:color w:val="00000A"/>
      <w:sz w:val="24"/>
    </w:rPr>
  </w:style>
  <w:style w:type="character" w:styleId="ListLabel56">
    <w:name w:val="ListLabel 56"/>
    <w:qFormat/>
    <w:rPr>
      <w:rFonts w:cs="Symbol"/>
      <w:b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60">
    <w:name w:val="ListLabel 60"/>
    <w:qFormat/>
    <w:rPr>
      <w:rFonts w:ascii="Times New Roman" w:hAnsi="Times New Roman" w:cs="Symbol"/>
      <w:b/>
      <w:sz w:val="24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paragraph" w:styleId="Style17" w:customStyle="1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FreeSans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  <w:style w:type="paragraph" w:styleId="Style22">
    <w:name w:val="Заглав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Style23">
    <w:name w:val="Верхний колонтитул"/>
    <w:basedOn w:val="Normal"/>
    <w:uiPriority w:val="99"/>
    <w:unhideWhenUsed/>
    <w:rsid w:val="00a3668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Нижний колонтитул"/>
    <w:basedOn w:val="Normal"/>
    <w:uiPriority w:val="99"/>
    <w:unhideWhenUsed/>
    <w:rsid w:val="00a3668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a3668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add"/>
    <w:pPr>
      <w:spacing w:lineRule="auto" w:line="252" w:before="0" w:after="160"/>
      <w:ind w:left="720" w:right="0" w:hanging="0"/>
      <w:contextualSpacing/>
    </w:pPr>
    <w:rPr/>
  </w:style>
  <w:style w:type="paragraph" w:styleId="NoSpacing">
    <w:name w:val="No Spacing"/>
    <w:uiPriority w:val="1"/>
    <w:qFormat/>
    <w:rsid w:val="00030fd4"/>
    <w:pPr>
      <w:widowControl/>
      <w:suppressAutoHyphens w:val="true"/>
      <w:bidi w:val="0"/>
      <w:spacing w:lineRule="auto" w:line="24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fe1add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39"/>
    <w:rsid w:val="001f5617"/>
    <w:pPr>
      <w:spacing w:line="240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1f5617"/>
    <w:pPr>
      <w:spacing w:line="240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3380-51D4-4A7D-9EB7-FBABA519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Application>LibreOffice/5.0.3.2$Linux_X86_64 LibreOffice_project/00m0$Build-2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2015-03-22T17:22:00Z</dcterms:created>
  <dc:creator>Maria Korikova</dc:creator>
  <dc:language>ru-RU</dc:language>
  <cp:lastModifiedBy>АДМИнн</cp:lastModifiedBy>
  <cp:lastPrinted>2016-02-26T11:53:42Z</cp:lastPrinted>
  <dcterms:modified xsi:type="dcterms:W3CDTF">2016-02-17T08:04:00Z</dcterms:modified>
  <cp:revision>22</cp:revision>
</cp:coreProperties>
</file>