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</w:rPr>
      </w:pPr>
      <w:r>
        <w:rPr>
          <w:b/>
        </w:rPr>
        <w:t>АГЕНТСКИЙ ДОГОВОР №1</w:t>
      </w:r>
    </w:p>
    <w:p>
      <w:pPr>
        <w:pStyle w:val="Normal"/>
        <w:tabs>
          <w:tab w:val="left" w:pos="7371" w:leader="none"/>
        </w:tabs>
        <w:jc w:val="both"/>
        <w:rPr/>
      </w:pPr>
      <w:r>
        <w:rPr/>
        <w:t>г. Алушта                                                                             «01» февраля 2016 года</w:t>
      </w:r>
    </w:p>
    <w:p>
      <w:pPr>
        <w:pStyle w:val="Normal"/>
        <w:jc w:val="both"/>
        <w:rPr/>
      </w:pPr>
      <w:r>
        <w:rPr/>
        <w:t>ООО «Библио-Глобус Русь», именуемое в дальнейшем «Агент», в лице Генерального директора Киселева Юрия Валерьевича, действующего на основании Устава с одной стороны и ООО "Спасение", в лице директора Кирилиной Юлии Брониславовны, действующего на основании Устава, именуемый в дальнейшем «Принципал», с другой стороны, совместно именуемые «Стороны», заключили настоящий Договор, о нижеследующем:</w:t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ТЕРМИНЫ И ОПРЕДЕЛЕНИЯ</w:t>
      </w:r>
    </w:p>
    <w:p>
      <w:pPr>
        <w:pStyle w:val="ListParagraph"/>
        <w:widowControl/>
        <w:numPr>
          <w:ilvl w:val="1"/>
          <w:numId w:val="1"/>
        </w:numPr>
        <w:bidi w:val="0"/>
        <w:spacing w:lineRule="auto" w:line="252" w:before="0" w:after="160"/>
        <w:ind w:left="0" w:right="0" w:hanging="0"/>
        <w:contextualSpacing/>
        <w:jc w:val="left"/>
        <w:rPr/>
      </w:pPr>
      <w:r>
        <w:rPr>
          <w:b/>
        </w:rPr>
        <w:t>Гостиница</w:t>
      </w:r>
      <w:r>
        <w:rPr/>
        <w:t xml:space="preserve"> – отель «Эспаньола», расположенный по адресу: РФ, Республика Крым, г. Алушта, п. Солнечногорское, ул. Курортная, 18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>Заявка на бронирование номеров/услуг</w:t>
      </w:r>
      <w:r>
        <w:rPr/>
        <w:t xml:space="preserve"> – письменный документ, направляемый Агентом Принципалу с целью бронирования номеров/услуг в Гостинице и получения подтверждения или отказа в подтверждении размещения клиентов в Гостинице и оказания услуг клиентам Агента в определенный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>Подтвержденная заявка</w:t>
      </w:r>
      <w:r>
        <w:rPr/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Клиент </w:t>
      </w:r>
      <w:r>
        <w:rPr/>
        <w:t>– физическое лицо, направляемое Агентом для размещения в Гостинице.</w:t>
      </w:r>
    </w:p>
    <w:p>
      <w:pPr>
        <w:pStyle w:val="ListParagraph"/>
        <w:numPr>
          <w:ilvl w:val="1"/>
          <w:numId w:val="1"/>
        </w:numPr>
        <w:jc w:val="both"/>
        <w:rPr/>
      </w:pPr>
      <w:bookmarkStart w:id="0" w:name="__DdeLink__282_689068040"/>
      <w:r>
        <w:rPr>
          <w:b/>
        </w:rPr>
        <w:t xml:space="preserve">Мягкая Квота </w:t>
      </w:r>
      <w:r>
        <w:rPr/>
        <w:t>– количество номеров определенной категории в Гостинице, которое Принципал гарантирует подтвердить Агенту до наступления Релиз-периода</w:t>
      </w:r>
      <w:bookmarkEnd w:id="0"/>
      <w:r>
        <w:rPr/>
        <w:t>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Релиз-период </w:t>
      </w:r>
      <w:r>
        <w:rPr/>
        <w:t>– количество суток до заезда Клиента в Гостиницу, при котором происходит высвобождение нереализованных номеров из квоты Агента Принципалом без применения штрафных санкций к Агенту. При этом высвобожденные номера могут подтверждаться Агентом только с согласия и подтверждения Принципала.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Турпродукт </w:t>
      </w:r>
      <w:r>
        <w:rPr/>
        <w:t>– набор туристских услуг, сформированный и реализуемый Агентом, включающий основные элементы отдыха, такие как транспортировку Клиентов, размещение в гостинице и другие туристские услуги.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Электронные средства коммуникации </w:t>
      </w:r>
      <w:r>
        <w:rPr/>
        <w:t>– технические средства передачи информации, такие как факс, электронная почта, онлайн системы бронирования и др.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Агент, действуя от своего имени,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услуги Клиентам.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Полный перечень услуг, входящих в стоимость проживания, цены на категории номеров, Мягкая Квота, периоды их действия и Релиз-период согласованы Сторонами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Услуги Принципала не указанные в Договоре и Приложениях к нему, будут считаться дополнительными и будут оказываться за дополнительную плату, определенную Сторонами и закрепленную дополнительным соглашением.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Размещение Клиентов в забронированные гостиничные номера осуществляется согласно правилам проживания в Гостинице, утвержденным Принципалом и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Настоящий Договор является договором Мягкой Квоты с предоплатой.</w:t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ОСНОВНЫЕ ПОЛОЖЕНИЯ</w:t>
      </w:r>
    </w:p>
    <w:p>
      <w:pPr>
        <w:pStyle w:val="ListParagraph"/>
        <w:numPr>
          <w:ilvl w:val="1"/>
          <w:numId w:val="1"/>
        </w:numPr>
        <w:rPr/>
      </w:pPr>
      <w:r>
        <w:rPr/>
        <w:t>Основанием для обслуживания Принципалов Клиентов, привлекаемых Агентом, является Ваучер Агента (обменная путевка), в которой фиксируется перечень услуг.</w:t>
      </w:r>
    </w:p>
    <w:p>
      <w:pPr>
        <w:pStyle w:val="ListParagraph"/>
        <w:numPr>
          <w:ilvl w:val="1"/>
          <w:numId w:val="1"/>
        </w:numPr>
        <w:rPr/>
      </w:pPr>
      <w:r>
        <w:rPr/>
        <w:t>В случае изменения условий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>
      <w:pPr>
        <w:pStyle w:val="ListParagraph"/>
        <w:numPr>
          <w:ilvl w:val="1"/>
          <w:numId w:val="1"/>
        </w:numPr>
        <w:rPr/>
      </w:pPr>
      <w:r>
        <w:rPr/>
        <w:t>В целях исполнения настоящего Договора Агент вправе заключать субагентские договоры, оставаясь ответственным за действия субагентов перед Принципалом.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УСЛОВИЯ И ПОРЯДОК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обязан не позднее чем 24 часа направить ответ в адрес Агента, в противном случае заявка считается подтвержденной.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Заявка должна содержать: наименование Гостиницы,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>
      <w:pPr>
        <w:pStyle w:val="ListParagraph"/>
        <w:numPr>
          <w:ilvl w:val="1"/>
          <w:numId w:val="1"/>
        </w:numPr>
        <w:jc w:val="both"/>
        <w:rPr>
          <w:iCs/>
          <w:color w:val="000000"/>
          <w:spacing w:val="-2"/>
          <w:sz w:val="22"/>
          <w:szCs w:val="22"/>
        </w:rPr>
      </w:pPr>
      <w:r>
        <w:rPr>
          <w:iCs/>
          <w:color w:val="000000"/>
          <w:spacing w:val="-2"/>
          <w:sz w:val="22"/>
          <w:szCs w:val="22"/>
        </w:rPr>
        <w:t xml:space="preserve">В случае реализации Агентом авансового  платежа до окончания квотного периода, Принципал в течение 2-х рабочих часов с момента подтверждения заявки выставляет Агенту  счет на оплату услуг, в котором зафиксирована стоимость услуг, подлежащая перечислению. 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ИЗМЕНЕНИЯ И ОТМЕНЫ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/>
      </w:pPr>
      <w:bookmarkStart w:id="1" w:name="__DdeLink__856_689068040"/>
      <w:bookmarkStart w:id="2" w:name="_Ref410172552"/>
      <w:r>
        <w:rPr/>
        <w:t xml:space="preserve">В случае отмены бронирования номера из Мягкой Квоты </w:t>
      </w:r>
      <w:bookmarkEnd w:id="2"/>
      <w:r>
        <w:rPr/>
        <w:t>после наступления Релиз-периода, Принципал имеет право удержать стоимость 1 (одних) суток проживания в забронированном номере соответствующей категории и типе питания.</w:t>
      </w:r>
      <w:bookmarkEnd w:id="1"/>
      <w:r>
        <w:rPr/>
        <w:t xml:space="preserve"> </w:t>
      </w:r>
    </w:p>
    <w:p>
      <w:pPr>
        <w:pStyle w:val="ListParagraph"/>
        <w:numPr>
          <w:ilvl w:val="1"/>
          <w:numId w:val="1"/>
        </w:numPr>
        <w:jc w:val="both"/>
        <w:rPr/>
      </w:pPr>
      <w:bookmarkStart w:id="3" w:name="_Ref411290492"/>
      <w:bookmarkEnd w:id="3"/>
      <w:r>
        <w:rPr/>
        <w:t>Принципал имеет право удержать стоимость 1 (одних) суток размещения в соответствующей категории при выезде Клиентов ранее заявленного срока пребывания по состоянию на дату досрочного прекращения пользования услугами Принципала.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Изменение бронирования в части сокращения объема и видов услуг рассматривается Принципалом на условиях отказа определенных п. </w:t>
      </w:r>
      <w:r>
        <w:rPr/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/>
        <w:t>.</w:t>
      </w:r>
    </w:p>
    <w:p>
      <w:pPr>
        <w:pStyle w:val="ListParagraph"/>
        <w:numPr>
          <w:ilvl w:val="1"/>
          <w:numId w:val="1"/>
        </w:numPr>
        <w:jc w:val="both"/>
        <w:rPr/>
      </w:pPr>
      <w:bookmarkStart w:id="4" w:name="__DdeLink__1140_689068040"/>
      <w:r>
        <w:rPr/>
        <w:t xml:space="preserve">Принципал вправе удерживать компенсацию, установленную п. </w:t>
      </w:r>
      <w:r>
        <w:rPr/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/>
        <w:t xml:space="preserve"> и п. </w:t>
      </w:r>
      <w:r>
        <w:rPr/>
        <w:fldChar w:fldCharType="begin"/>
      </w:r>
      <w:r>
        <w:instrText> REF _Ref411290492 \r \h </w:instrText>
      </w:r>
      <w:r>
        <w:fldChar w:fldCharType="separate"/>
      </w:r>
      <w:r>
        <w:t>5.3</w:t>
      </w:r>
      <w:r>
        <w:fldChar w:fldCharType="end"/>
      </w:r>
      <w:bookmarkEnd w:id="4"/>
      <w:r>
        <w:rPr/>
        <w:t xml:space="preserve"> настоящего Договора из суммы предоплаты, осуществленной Агентом в пользу Принципала.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Стороны согласились составлять Акт сверки взаимных расчетов на ежемесячной основе и должен быть подписан сторонами не позднее 10 числа каждого месяца.</w:t>
      </w:r>
    </w:p>
    <w:p>
      <w:pPr>
        <w:pStyle w:val="ListParagraph"/>
        <w:ind w:left="0" w:right="0" w:hanging="0"/>
        <w:jc w:val="center"/>
        <w:rPr/>
      </w:pPr>
      <w:r>
        <w:rPr/>
      </w:r>
    </w:p>
    <w:p>
      <w:pPr>
        <w:pStyle w:val="ListParagraph"/>
        <w:ind w:left="0" w:right="0" w:hanging="0"/>
        <w:jc w:val="center"/>
        <w:rPr/>
      </w:pPr>
      <w:r>
        <w:rPr/>
      </w:r>
    </w:p>
    <w:p>
      <w:pPr>
        <w:pStyle w:val="ListParagraph"/>
        <w:ind w:left="0" w:right="0" w:hanging="0"/>
        <w:jc w:val="center"/>
        <w:rPr/>
      </w:pPr>
      <w:r>
        <w:rPr/>
      </w:r>
    </w:p>
    <w:p>
      <w:pPr>
        <w:pStyle w:val="ListParagraph"/>
        <w:ind w:left="0" w:right="0" w:hanging="0"/>
        <w:jc w:val="center"/>
        <w:rPr/>
      </w:pPr>
      <w:r>
        <w:rPr/>
      </w:r>
    </w:p>
    <w:p>
      <w:pPr>
        <w:pStyle w:val="ListParagraph"/>
        <w:ind w:left="0" w:right="0" w:hanging="0"/>
        <w:jc w:val="center"/>
        <w:rPr/>
      </w:pPr>
      <w:r>
        <w:rPr/>
      </w:r>
    </w:p>
    <w:p>
      <w:pPr>
        <w:pStyle w:val="ListParagraph"/>
        <w:ind w:left="0" w:right="0" w:hanging="0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ind w:left="0" w:right="0" w:hanging="0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ПОРЯДОК ПРЕДОСТАВЛЕНИЯ РАЗМЕЩЕНИЯ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Заселение Клиентов производится после 14:00 часов дня заезда. Гостиница вправе требовать с Клиента за ранее поселение без участия Агента по официальным опубликованным тарифам установленных Гостиницей.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Расчетное время выселения Клиентов из Гостиницы до 12:00 дня выезда. Гостиница вправе требовать с Клиента в случае задержки Клиентов в Гостинице без участия Агента по официальным опубликованным тарифам установленных Гостиницей.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СТОИМОСТЬ УСЛУГ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Стоимость услуг, оказываемых Принципалом Клиентам Агента, по поступившим от Агента заявкам, определяется тарифами, указанными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b w:val="false"/>
          <w:bCs w:val="false"/>
        </w:rPr>
      </w:pPr>
      <w:r>
        <w:rPr>
          <w:b w:val="false"/>
          <w:bCs w:val="false"/>
        </w:rPr>
        <w:t>Агентское вознаграждение является разницей между тарифом реализации Агентом туруслуг Клиентам/Субагентам и тарифом, указанным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Агент имеет право самостоятельно формировать и удерживать причитающееся ему вознаграждение из полученных от Клиентов/Субагентов средств.</w:t>
      </w:r>
    </w:p>
    <w:p>
      <w:pPr>
        <w:pStyle w:val="ListParagraph"/>
        <w:numPr>
          <w:ilvl w:val="1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Денежные средства, полученные Агентом от реализации услуг (за исключением агентского вознаграждения) не являются собственностью Агента, а являются транзитными средствами и принадлежат исключительно Принципалу, и вверены Агенту на временное хранение до совершения взаиморасчётов между сторонами.</w:t>
      </w:r>
    </w:p>
    <w:p>
      <w:pPr>
        <w:pStyle w:val="ListParagraph"/>
        <w:numPr>
          <w:ilvl w:val="1"/>
          <w:numId w:val="1"/>
        </w:numPr>
        <w:jc w:val="both"/>
        <w:rPr>
          <w:rFonts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Не реже 1 раза в 3 месяца Агент предоставляет Принципалу отчет о реализованных путевках и акт оказания агентских услуг. Принципал обязуется принять и подписать указанные документы в течение 10 дней с момента их получения. Если по истечении указанного срока Принципал не подпишет отчет и/или  акт оказания агентских услуг и от него не поступит возражений в письменной форме, отчет и/или акт оказания агентских услуг считаются принятым Принципалом без возражений.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не несет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предоставленных услуг.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РАСЧЕТОВ УСЛУГ ПРИНЦИПАЛА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Все расчеты по настоящему Договору производятся между Сторонами в российских рублях в порядке безналичных расчетов по согласованному Сторонами графику, указанному в Приложении №2 настоящего Договора.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 случае если сумма предоставленных услуг Принципала превышает общую сумму оплат Агента, Агент обязан оплатить разницу до заезда Клиентов.</w:t>
      </w:r>
    </w:p>
    <w:p>
      <w:pPr>
        <w:pStyle w:val="ListParagraph"/>
        <w:numPr>
          <w:ilvl w:val="1"/>
          <w:numId w:val="1"/>
        </w:numPr>
        <w:jc w:val="both"/>
        <w:rPr>
          <w:rFonts w:cs="Times New Roman"/>
          <w:color w:val="000000"/>
          <w:sz w:val="22"/>
          <w:szCs w:val="22"/>
          <w:shd w:fill="FFFFFF" w:val="clear"/>
        </w:rPr>
      </w:pPr>
      <w:r>
        <w:rPr>
          <w:rFonts w:cs="Times New Roman"/>
          <w:color w:val="000000"/>
          <w:sz w:val="22"/>
          <w:szCs w:val="22"/>
          <w:shd w:fill="FFFFFF" w:val="clear"/>
        </w:rPr>
        <w:t xml:space="preserve">Неиспользованные денежные средства по окончанию квотного периода, внесенные Агентом в качестве предоплаты, возвращаются Агенту на расчетный счет в течение 30 календарных дней после подписания акта взаимосверки.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Все дополнительные услуги, предоставляемые Принципалом в период проживания Клиента в Гостинице, оплачиваются по официально опубликованным тарифам Клиентом самостоятельно в кассу Гостиницы в рублях РФ наличными денежными средствами либо банковской картой.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jc w:val="center"/>
        <w:rPr/>
      </w:pPr>
      <w:r>
        <w:rPr/>
      </w:r>
    </w:p>
    <w:p>
      <w:pPr>
        <w:pStyle w:val="ListParagraph"/>
        <w:ind w:left="0" w:righ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обязуется: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Обеспечить Агенту установленные Мягкою Квоту номеров, в соответствии с Приложением №1 к настоящему Договору.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Оказывать услуги в соответствии с действующими в Российской Федерации нормами, стандартами и правилами.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Осуществлять обслуживание Клиентов Агента в объеме, установленном настоящим Договором.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>
      <w:pPr>
        <w:pStyle w:val="ListParagraph"/>
        <w:numPr>
          <w:ilvl w:val="0"/>
          <w:numId w:val="2"/>
        </w:numPr>
        <w:ind w:left="426" w:right="0" w:hanging="360"/>
        <w:jc w:val="both"/>
        <w:rPr/>
      </w:pPr>
      <w:r>
        <w:rPr/>
        <w:t>при поселении Клиента Агента в гостиничный номер более высокой категории оплата рассчитывается по цене указанной в заявке</w:t>
      </w:r>
    </w:p>
    <w:p>
      <w:pPr>
        <w:pStyle w:val="ListParagraph"/>
        <w:numPr>
          <w:ilvl w:val="0"/>
          <w:numId w:val="2"/>
        </w:numPr>
        <w:ind w:left="426" w:right="0" w:hanging="360"/>
        <w:jc w:val="both"/>
        <w:rPr/>
      </w:pPr>
      <w:r>
        <w:rPr/>
        <w:t>при поселении Клиента Агента в гостиничный номер более низкой категории будет произведен перерасчет в пользу Агента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вправе: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Требовать от Клиентов Агента соблюдения установленного порядка и правил проживания в Гостинице, правил пожарной безопасности и бережного отношения к имуществу Принципала.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Агент обязуется: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Своевременно и в полном объеме оплачивать услуги, оказываемые Принципалом по настоящему Договору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Информировать Клиентов о требованиях, предъявляемых Принципалом к Клиентам, давать полную информацию об условиях проживания и объеме предоставляемых услуг.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Агент вправе: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Использовать рекламные материалы и информацию, рекомендованные или предоставленные Принципалом.</w:t>
      </w:r>
    </w:p>
    <w:p>
      <w:pPr>
        <w:pStyle w:val="ListParagraph"/>
        <w:numPr>
          <w:ilvl w:val="2"/>
          <w:numId w:val="1"/>
        </w:numPr>
        <w:jc w:val="both"/>
        <w:rPr>
          <w:rStyle w:val="FontStyle18"/>
          <w:sz w:val="22"/>
          <w:szCs w:val="22"/>
          <w:shd w:fill="FFFFFF" w:val="clear"/>
        </w:rPr>
      </w:pPr>
      <w:r>
        <w:rPr/>
        <w:t>Реализовывать</w:t>
      </w:r>
      <w:r>
        <w:rPr>
          <w:rStyle w:val="FontStyle18"/>
          <w:sz w:val="22"/>
          <w:szCs w:val="22"/>
          <w:shd w:fill="FFFFFF" w:val="clear"/>
        </w:rPr>
        <w:t xml:space="preserve"> дополнительный объем номерного фонда за пределами выделенной квоты номеров по тарифам, указанным в Приложении №1 к настоящему Договору, но только после письменного запроса Агентом и подтверждения Принципала. При этом дополнительный объем реализованного номерного фонда может быть оплачен Агентом из суммы предоплаты, сделанной  Принципалу по настоящему Договору.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Предлагать Клиентам, во время пребывания в Гостиницы дополнительные услуги (экскурсии, трансферы и т.п.) на территории Гостиницы по тарифам Агента и разместить информационный стенд с соответствующей информацией в холле Гостиницы.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Стороны в рамках продвижения услуг Принципала, обусловленных настоящим Договором проводят совместные маркетинговые активности на основании отдельных дополнительных соглашений к настоящему Договору.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Материальный ущерб, причинённый Гостинице Клиентами, возмещается в полном объеме Клиентами непосредственно в Гостинице на основании Актов, составленных в установленном законодательством РФ порядке.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 следствии действий российских или иностранных официальных органов делающих невозможным исполнение Принципалом своих обязательств.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Во всех остальных случаях, Стороны несут ответственность в соответствии с действующим законодательством РФ.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РАЗРЕШЕНИЯ СПОРОВ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Претензионный порядок разрешения споров: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и(или)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Сторона, которая получила претензию, обязана ее рассмотреть и направить письменный мотивированный ответ другой стороне в течении десяти календарных дней с момента получения претензии.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Арбитражном суде Республики Крым.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ФОРС-МАЖОР</w:t>
      </w:r>
    </w:p>
    <w:p>
      <w:pPr>
        <w:pStyle w:val="ListParagraph"/>
        <w:numPr>
          <w:ilvl w:val="1"/>
          <w:numId w:val="1"/>
        </w:numPr>
        <w:jc w:val="both"/>
        <w:rPr/>
      </w:pPr>
      <w:bookmarkStart w:id="5" w:name="_Ref410172365"/>
      <w:bookmarkEnd w:id="5"/>
      <w:r>
        <w:rPr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 конъюнктуры  туристского рынка, возникшие во время действия настоящего Договора, которые стороны не могли предвидеть, или предотвратить.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При наступлении обстоятельств, указанных в п. </w:t>
      </w:r>
      <w:r>
        <w:rPr/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/>
        <w:t xml:space="preserve">, каждая сторона должна без промедления известить о них в письменном виде другую сторону.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В случае наступления обстоятельств, предусмотренных в п. </w:t>
      </w:r>
      <w:r>
        <w:rPr/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/>
        <w:t>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Если наступившие обстоятельства, перечисленные в п. </w:t>
      </w:r>
      <w:r>
        <w:rPr/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/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При наступлении обстоятельств, указанных в п. </w:t>
      </w:r>
      <w:r>
        <w:rPr/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/>
        <w:t xml:space="preserve"> настоящего Договора, стороны проводят сверку взаиморасчетов. Неиспользованные денежные средства, оплаченные Агентом за Квоты номеров в соответствии с графиком платежей, возвращаются Агентом в течении 30 (тридцати) дней после даты наступления обстоятельств.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СРОК ДЕЙСТВИЯ И ПОРЯДОК РАСТОРЖЕНИЯ ДОГОВОРА</w:t>
      </w:r>
    </w:p>
    <w:p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/>
        <w:t xml:space="preserve">Настоящий договор вступает в силу с момента его подписания Сторонами и будет действовать по «31» декабря 2016 г, </w:t>
      </w:r>
      <w:r>
        <w:rPr>
          <w:sz w:val="24"/>
          <w:szCs w:val="24"/>
        </w:rPr>
        <w:t>но в любом случае до полного исполнения Сторонами финансовых обязательств по данному договору.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Настоящий Договор может быть расторгнут в 10-дневный срок с предварительным письменным уведомлением по инициативе любой из сторон в случаях:</w:t>
      </w:r>
    </w:p>
    <w:p>
      <w:pPr>
        <w:pStyle w:val="ListParagraph"/>
        <w:numPr>
          <w:ilvl w:val="0"/>
          <w:numId w:val="3"/>
        </w:numPr>
        <w:ind w:left="426" w:right="0" w:hanging="360"/>
        <w:jc w:val="both"/>
        <w:rPr/>
      </w:pPr>
      <w:r>
        <w:rPr/>
        <w:t>по обоюдному согласию</w:t>
      </w:r>
    </w:p>
    <w:p>
      <w:pPr>
        <w:pStyle w:val="ListParagraph"/>
        <w:numPr>
          <w:ilvl w:val="0"/>
          <w:numId w:val="3"/>
        </w:numPr>
        <w:ind w:left="426" w:right="0" w:hanging="360"/>
        <w:jc w:val="both"/>
        <w:rPr/>
      </w:pPr>
      <w:r>
        <w:rPr/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 случае расторжения настоящего Договора, неиспользованные денежные средства, оплаченные Агентом за Квоты номеров в соответствии с графиком платежей, возвращаются Агенту в течении 30 (тридцати) дней после даты расторжения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Досрочное расторжение настоящего Договора не освобождает Стороны от обязательств, возникших до момента его расторжения.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КОНФИДЕНЦИАЛЬНОСТЬ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Каждая из Сторон обязуется не использовать в целях, не связанных с исполнением настоящего Договора, и не раскрывать любым лицам (за исключением лиц указанных в п. </w:t>
      </w:r>
      <w:r>
        <w:rPr/>
        <w:fldChar w:fldCharType="begin"/>
      </w:r>
      <w:r>
        <w:instrText> REF _Ref410172479 \r \h </w:instrText>
      </w:r>
      <w:r>
        <w:fldChar w:fldCharType="separate"/>
      </w:r>
      <w:r>
        <w:t>14.2</w:t>
      </w:r>
      <w:r>
        <w:fldChar w:fldCharType="end"/>
      </w:r>
      <w:r>
        <w:rPr/>
        <w:t>) без предварительного письменного согласия другой Стороны любую информацию, которая составляет или могла бы составить коммерческую тайну, подразумевается любая информация, которая Сторона считала бы при существующих обычаях делового оборота конфиденциальной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>
      <w:pPr>
        <w:pStyle w:val="ListParagraph"/>
        <w:numPr>
          <w:ilvl w:val="1"/>
          <w:numId w:val="1"/>
        </w:numPr>
        <w:jc w:val="both"/>
        <w:rPr/>
      </w:pPr>
      <w:bookmarkStart w:id="6" w:name="_Ref410172479"/>
      <w:bookmarkEnd w:id="6"/>
      <w:r>
        <w:rPr/>
        <w:t>Каждая из Сторон вправе раскрывать указанную коммерческую информацию: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своим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своим юристам, аудиторам и агентам – в любом объеме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банку или иному финансовому учреждению – в объеме, необходимом для осуществления платежей по настоящему Договору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</w:p>
    <w:p>
      <w:pPr>
        <w:pStyle w:val="ListParagraph"/>
        <w:ind w:left="0" w:right="0" w:hanging="0"/>
        <w:jc w:val="both"/>
        <w:rPr/>
      </w:pPr>
      <w:r>
        <w:rPr/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Каждая из Сторон настоящего Договора обязана незамедлительно сообщить другой Стороне о допущенном ею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Настоящий договор составлен в двух идентичных экземплярах, имеющих равную юридическую силу, по одному для каждой из Сторон.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Уведомления, сообщения, иные документы, направляемые Сторонами друг другу в связи с исполнением настоящего Договора, считаются переданными с даты получения Стороной, которой они адресованы.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Использование Агентом товарного знака Принципала, частично либо полностью, на русском и/или английском языков в любой форме, связанной с печатной, радио-, теле-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После подписания настоящего Договора все предварительные договоренности утрачивают силу.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обязательств сторон по старым адресам и банковским реквизитам до уведомления об их изменении считаются надлежащим исполненным.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АДРЕСА И РЕКВИЗИТЫ СТОРОН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4953"/>
        <w:gridCol w:w="4953"/>
      </w:tblGrid>
      <w:tr>
        <w:trPr>
          <w:trHeight w:val="5881" w:hRule="atLeast"/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ascii="Arial;Tahoma;Verdana;sans-serif" w:hAnsi="Arial;Tahoma;Verdana;sans-serif"/>
              </w:rPr>
            </w:pPr>
            <w:r>
              <w:rPr>
                <w:b/>
              </w:rPr>
              <w:t xml:space="preserve">Принципал: </w:t>
            </w:r>
            <w:bookmarkStart w:id="7" w:name="__DdeLink__401_1758496539"/>
            <w:r>
              <w:rPr>
                <w:rFonts w:ascii="Arial;Tahoma;Verdana;sans-serif" w:hAnsi="Arial;Tahoma;Verdana;sans-serif"/>
                <w:b/>
                <w:bCs/>
              </w:rPr>
              <w:t>ООО "Спасение"</w:t>
            </w:r>
            <w:r>
              <w:rPr/>
              <w:br/>
            </w:r>
            <w:r>
              <w:rPr>
                <w:rFonts w:ascii="Arial;Tahoma;Verdana;sans-serif" w:hAnsi="Arial;Tahoma;Verdana;sans-serif"/>
              </w:rPr>
              <w:t>295000, г. Симферополь, пр. Кирова, 28</w:t>
            </w:r>
            <w:r>
              <w:rPr/>
              <w:br/>
            </w:r>
            <w:r>
              <w:rPr>
                <w:rFonts w:ascii="Arial;Tahoma;Verdana;sans-serif" w:hAnsi="Arial;Tahoma;Verdana;sans-serif"/>
              </w:rPr>
              <w:t>ИНН/КПП 9102164029/910201001</w:t>
            </w:r>
            <w:r>
              <w:rPr/>
              <w:br/>
            </w:r>
            <w:r>
              <w:rPr>
                <w:rFonts w:ascii="Arial;Tahoma;Verdana;sans-serif" w:hAnsi="Arial;Tahoma;Verdana;sans-serif"/>
              </w:rPr>
              <w:t>р/с 40702810340480000314 в РНКБ банк  (ПАО), г. Москва</w:t>
            </w:r>
            <w:r>
              <w:rPr/>
              <w:br/>
            </w:r>
            <w:r>
              <w:rPr>
                <w:rFonts w:ascii="Arial;Tahoma;Verdana;sans-serif" w:hAnsi="Arial;Tahoma;Verdana;sans-serif"/>
              </w:rPr>
              <w:t xml:space="preserve">БИК 043510607 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ascii="Arial;Tahoma;Verdana;sans-serif" w:hAnsi="Arial;Tahoma;Verdana;sans-serif"/>
              </w:rPr>
            </w:pPr>
            <w:r>
              <w:rPr>
                <w:rFonts w:ascii="Arial;Tahoma;Verdana;sans-serif" w:hAnsi="Arial;Tahoma;Verdana;sans-serif"/>
              </w:rPr>
              <w:t>кор/сч 30101810335100000607</w:t>
            </w:r>
          </w:p>
          <w:p>
            <w:pPr>
              <w:pStyle w:val="Normal"/>
              <w:spacing w:before="0" w:after="0"/>
              <w:rPr>
                <w:b/>
                <w:bCs/>
              </w:rPr>
            </w:pPr>
            <w:bookmarkEnd w:id="7"/>
            <w:r>
              <w:rPr>
                <w:b/>
                <w:bCs/>
              </w:rPr>
              <w:t>Принципал находится на УСН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3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Агент: ООО «Библио-Глобус Русь»</w:t>
            </w:r>
          </w:p>
          <w:p>
            <w:pPr>
              <w:pStyle w:val="Style22"/>
              <w:widowControl w:val="false"/>
              <w:tabs>
                <w:tab w:val="left" w:pos="4491" w:leader="none"/>
              </w:tabs>
              <w:ind w:left="-12" w:right="0" w:hanging="0"/>
              <w:jc w:val="both"/>
              <w:textAlignment w:val="auto"/>
              <w:rPr>
                <w:rFonts w:eastAsia="Courier New Baltic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 w:eastAsia="zh-CN" w:bidi="hi-IN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2"/>
                <w:szCs w:val="22"/>
                <w:lang w:val="ru-RU" w:eastAsia="ru-RU" w:bidi="ar-SA"/>
              </w:rPr>
              <w:t>Юридический адрес в соответствии с учредительными документами:123022, г. Москва, ул. Красная Пресня, дом 28, помещение № V,  комната №1</w:t>
              <w:br/>
            </w:r>
            <w:r>
              <w:rPr>
                <w:rFonts w:eastAsia="Courier New Baltic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 w:eastAsia="zh-CN" w:bidi="hi-IN"/>
              </w:rPr>
              <w:t>Почтовый адрес: 295034, г. Симферополь, пр. Кирова, 66/3</w:t>
              <w:br/>
              <w:t>ИНН/КПП 7731447661/770301001, ОГРН 1137746426619</w:t>
              <w:br/>
              <w:t>Р/сч 40702810900000032072 в Открытое акционерное общество Акционерный Коммерческий банк «АВАНГАРД» (ОАО АКБ «АВАНГАРД»)</w:t>
              <w:br/>
              <w:t>К/сч 30101810000000000201 в ОПЕРУ Московского ГТУ Банка России БИК 044525201,</w:t>
            </w:r>
          </w:p>
          <w:p>
            <w:pPr>
              <w:pStyle w:val="Style22"/>
              <w:widowControl w:val="false"/>
              <w:tabs>
                <w:tab w:val="left" w:pos="4680" w:leader="none"/>
              </w:tabs>
              <w:spacing w:before="0" w:after="200"/>
              <w:ind w:left="0" w:right="0" w:hanging="0"/>
              <w:jc w:val="left"/>
              <w:textAlignment w:val="auto"/>
              <w:rPr>
                <w:rFonts w:eastAsia="Courier New Baltic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 w:color="000000"/>
                <w:lang w:val="ru-RU" w:eastAsia="zh-CN" w:bidi="hi-IN"/>
              </w:rPr>
            </w:pPr>
            <w:r>
              <w:rPr>
                <w:rFonts w:eastAsia="Courier New Baltic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 w:eastAsia="zh-CN" w:bidi="hi-IN"/>
              </w:rPr>
              <w:t>ОКПО 17583388, ОКАТО</w:t>
            </w:r>
            <w:r>
              <w:rPr>
                <w:rFonts w:eastAsia="Courier New Baltic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 w:color="000000"/>
                <w:lang w:val="ru-RU" w:eastAsia="zh-CN" w:bidi="hi-IN"/>
              </w:rPr>
              <w:t xml:space="preserve"> 45286575000  </w:t>
            </w:r>
          </w:p>
        </w:tc>
      </w:tr>
      <w:tr>
        <w:trPr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  <w:t>От имени Принципала: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3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  <w:t>От имени Агента: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  <w:t>________________________________________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/>
            </w:pPr>
            <w:r>
              <w:rPr/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3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  <w:t>_______________________________________</w:t>
            </w:r>
          </w:p>
          <w:p>
            <w:pPr>
              <w:pStyle w:val="Normal"/>
              <w:tabs>
                <w:tab w:val="left" w:pos="-3240" w:leader="none"/>
                <w:tab w:val="left" w:pos="-2160" w:leader="none"/>
                <w:tab w:val="left" w:pos="-1980" w:leader="none"/>
                <w:tab w:val="left" w:pos="360" w:leader="none"/>
                <w:tab w:val="left" w:pos="3348" w:leader="none"/>
              </w:tabs>
              <w:spacing w:lineRule="auto" w:line="240" w:before="0" w:after="0"/>
              <w:ind w:left="0" w:right="0" w:hanging="0"/>
              <w:contextualSpacing/>
              <w:rPr>
                <w:i/>
                <w:iCs/>
                <w:sz w:val="20"/>
                <w:szCs w:val="24"/>
              </w:rPr>
            </w:pPr>
            <w:r>
              <w:rPr>
                <w:i/>
                <w:iCs/>
                <w:sz w:val="20"/>
                <w:szCs w:val="24"/>
              </w:rPr>
              <w:t>(на основании дов. 77 АБ 4014865 от 08.04.2015) Заливин А.С.</w:t>
            </w:r>
          </w:p>
        </w:tc>
      </w:tr>
      <w:tr>
        <w:trPr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  <w:t>Должность: ______________________________</w:t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3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  <w:t>Должность: генеральный директор Киселев Ю.В.</w:t>
            </w:r>
          </w:p>
        </w:tc>
      </w:tr>
      <w:tr>
        <w:trPr>
          <w:trHeight w:val="139" w:hRule="atLeast"/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  <w:t>М.П.</w:t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3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  <w:t>М.П.</w:t>
            </w:r>
          </w:p>
        </w:tc>
      </w:tr>
    </w:tbl>
    <w:p>
      <w:pPr>
        <w:pStyle w:val="Normal"/>
        <w:widowControl/>
        <w:bidi w:val="0"/>
        <w:ind w:left="0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bookmarkStart w:id="8" w:name="__DdeLink__270_1268883980"/>
      <w:bookmarkEnd w:id="8"/>
      <w:r>
        <w:rPr/>
        <w:t>Приложение №1 к Договору №1 от 01.02. 2016 г.</w:t>
      </w:r>
    </w:p>
    <w:p>
      <w:pPr>
        <w:pStyle w:val="Normal"/>
        <w:jc w:val="center"/>
        <w:rPr/>
      </w:pPr>
      <w:r>
        <w:rPr/>
        <w:t>Тарифы на размещение в гостинице за номер:</w:t>
      </w:r>
    </w:p>
    <w:tbl>
      <w:tblPr>
        <w:jc w:val="left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3402"/>
        <w:gridCol w:w="3402"/>
        <w:gridCol w:w="3402"/>
      </w:tblGrid>
      <w:tr>
        <w:trPr>
          <w:cantSplit w:val="false"/>
        </w:trPr>
        <w:tc>
          <w:tcPr>
            <w:tcW w:w="1020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Style23"/>
              <w:spacing w:before="0" w:after="283"/>
              <w:jc w:val="center"/>
              <w:rPr/>
            </w:pPr>
            <w:r>
              <w:rPr/>
              <w:t>Стоимость за номер в рублях на 2016 год (с завтраком)</w:t>
            </w:r>
          </w:p>
        </w:tc>
      </w:tr>
      <w:tr>
        <w:trPr>
          <w:cantSplit w:val="false"/>
        </w:trPr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9" w:type="dxa"/>
            </w:tcMar>
          </w:tcPr>
          <w:p>
            <w:pPr>
              <w:pStyle w:val="Style24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  <w:t>Категория номера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9" w:type="dxa"/>
            </w:tcMar>
          </w:tcPr>
          <w:p>
            <w:pPr>
              <w:pStyle w:val="Style24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  <w:t>25.04 - 15.06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Style24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  <w:t>15.06 - 15.09</w:t>
            </w:r>
          </w:p>
        </w:tc>
      </w:tr>
      <w:tr>
        <w:trPr>
          <w:trHeight w:val="590" w:hRule="atLeast"/>
          <w:cantSplit w:val="false"/>
        </w:trPr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9" w:type="dxa"/>
            </w:tcMar>
          </w:tcPr>
          <w:p>
            <w:pPr>
              <w:pStyle w:val="Style23"/>
              <w:spacing w:before="0" w:after="200"/>
              <w:rPr/>
            </w:pPr>
            <w:r>
              <w:rPr/>
              <w:t>2-местный стандарт(2 осн+1 доп)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9" w:type="dxa"/>
            </w:tcMar>
          </w:tcPr>
          <w:p>
            <w:pPr>
              <w:pStyle w:val="Style23"/>
              <w:spacing w:before="0" w:after="200"/>
              <w:rPr/>
            </w:pPr>
            <w:r>
              <w:rPr/>
              <w:t>1200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Style23"/>
              <w:spacing w:before="0" w:after="200"/>
              <w:rPr/>
            </w:pPr>
            <w:r>
              <w:rPr/>
              <w:t>1520</w:t>
            </w:r>
          </w:p>
        </w:tc>
      </w:tr>
      <w:tr>
        <w:trPr>
          <w:cantSplit w:val="false"/>
        </w:trPr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9" w:type="dxa"/>
            </w:tcMar>
          </w:tcPr>
          <w:p>
            <w:pPr>
              <w:pStyle w:val="Style23"/>
              <w:spacing w:before="0" w:after="200"/>
              <w:rPr/>
            </w:pPr>
            <w:r>
              <w:rPr/>
              <w:t>2-местный с балконом(2 осн+1 доп)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9" w:type="dxa"/>
            </w:tcMar>
          </w:tcPr>
          <w:p>
            <w:pPr>
              <w:pStyle w:val="Style23"/>
              <w:spacing w:before="0" w:after="200"/>
              <w:rPr/>
            </w:pPr>
            <w:r>
              <w:rPr/>
              <w:t>1440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Style23"/>
              <w:spacing w:before="0" w:after="200"/>
              <w:rPr/>
            </w:pPr>
            <w:r>
              <w:rPr/>
              <w:t>1760</w:t>
            </w:r>
          </w:p>
        </w:tc>
      </w:tr>
      <w:tr>
        <w:trPr>
          <w:trHeight w:val="510" w:hRule="atLeast"/>
          <w:cantSplit w:val="false"/>
        </w:trPr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9" w:type="dxa"/>
            </w:tcMar>
          </w:tcPr>
          <w:p>
            <w:pPr>
              <w:pStyle w:val="Style23"/>
              <w:spacing w:before="0" w:after="200"/>
              <w:rPr/>
            </w:pPr>
            <w:r>
              <w:rPr/>
              <w:t>3-местный стандарт(3 осн+1 доп)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9" w:type="dxa"/>
            </w:tcMar>
          </w:tcPr>
          <w:p>
            <w:pPr>
              <w:pStyle w:val="Style23"/>
              <w:spacing w:before="0" w:after="200"/>
              <w:rPr/>
            </w:pPr>
            <w:r>
              <w:rPr/>
              <w:t>1600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Style23"/>
              <w:spacing w:before="0" w:after="200"/>
              <w:rPr/>
            </w:pPr>
            <w:r>
              <w:rPr/>
              <w:t>2160</w:t>
            </w:r>
          </w:p>
        </w:tc>
      </w:tr>
      <w:tr>
        <w:trPr>
          <w:trHeight w:val="380" w:hRule="atLeast"/>
          <w:cantSplit w:val="false"/>
        </w:trPr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9" w:type="dxa"/>
            </w:tcMar>
          </w:tcPr>
          <w:p>
            <w:pPr>
              <w:pStyle w:val="Style23"/>
              <w:spacing w:before="0" w:after="200"/>
              <w:rPr/>
            </w:pPr>
            <w:r>
              <w:rPr/>
              <w:t>Номер-студио(2 осн+2 доп)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9" w:type="dxa"/>
            </w:tcMar>
          </w:tcPr>
          <w:p>
            <w:pPr>
              <w:pStyle w:val="Style23"/>
              <w:spacing w:before="0" w:after="200"/>
              <w:rPr/>
            </w:pPr>
            <w:r>
              <w:rPr/>
              <w:t>2080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Style23"/>
              <w:spacing w:before="0" w:after="200"/>
              <w:rPr/>
            </w:pPr>
            <w:r>
              <w:rPr/>
              <w:t>2720</w:t>
            </w:r>
          </w:p>
        </w:tc>
      </w:tr>
    </w:tbl>
    <w:p>
      <w:pPr>
        <w:pStyle w:val="Normal"/>
        <w:jc w:val="left"/>
        <w:rPr/>
      </w:pPr>
      <w:r>
        <w:rPr/>
        <w:t>Цены указаны без НДС</w:t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  <w:t>В стоимость включено:</w:t>
      </w:r>
      <w:r>
        <w:rPr/>
        <w:t xml:space="preserve"> проживание,завтрак,бесплатная парковка,WI-FI на всей территории отеля, пользование всей инфраструктурой комплекса - волейбольная площадка, настольный теннис, шахматы, нарды, библиотека, детская площадка, детская анимация.</w:t>
        <w:br/>
      </w:r>
      <w:r>
        <w:rPr>
          <w:b/>
          <w:bCs/>
        </w:rPr>
        <w:t>Услуги за доп. плату:</w:t>
      </w:r>
      <w:r>
        <w:rPr/>
        <w:t xml:space="preserve"> заказ дополнительного питания, пользование мангальным двориком(шашлыки,барбекю), стирка белья, бар, услуги няни, </w:t>
      </w:r>
      <w:r>
        <w:rPr/>
        <w:t>бильярд.</w:t>
      </w:r>
      <w:r>
        <w:rPr/>
        <w:br/>
      </w:r>
      <w:r>
        <w:rPr>
          <w:b/>
          <w:bCs/>
        </w:rPr>
        <w:t>Стоимость дополнительного места</w:t>
      </w:r>
      <w:r>
        <w:rPr/>
        <w:t xml:space="preserve"> — 640 руб с предоставлением завтрака.</w:t>
        <w:br/>
      </w:r>
      <w:r>
        <w:rPr>
          <w:b/>
          <w:bCs/>
        </w:rPr>
        <w:t>Дети принимаются с любого возраста. Дети до 3-х лет размещаются бесплатно без предоставления отдельного места и питания. По запросу предоставляются детские кроватки.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4953"/>
        <w:gridCol w:w="4953"/>
      </w:tblGrid>
      <w:tr>
        <w:trPr>
          <w:trHeight w:val="2550" w:hRule="atLeast"/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b w:val="false"/>
                <w:bCs w:val="false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Принципал: </w:t>
            </w:r>
            <w:r>
              <w:rPr>
                <w:rFonts w:ascii="Arial;Tahoma;Verdana;sans-serif" w:hAnsi="Arial;Tahoma;Verdana;sans-serif"/>
                <w:b/>
                <w:bCs/>
                <w:sz w:val="20"/>
                <w:szCs w:val="20"/>
              </w:rPr>
              <w:t>ООО "Спасение"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 w:val="false"/>
                <w:bCs w:val="false"/>
                <w:sz w:val="20"/>
                <w:szCs w:val="20"/>
              </w:rPr>
              <w:t>295000, г. Симферополь, пр. Кирова, 28</w:t>
              <w:br/>
              <w:t>ИНН/КПП 9102164029/910201001</w:t>
              <w:br/>
              <w:t>р/с 40702810340480000314 в РНКБ банк  (ПАО), г. Москва</w:t>
              <w:br/>
              <w:t xml:space="preserve">БИК 043510607 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кор/сч 30101810335100000607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Принципал находится на УСН</w:t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3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Агент: ООО «Библио-Глобус Русь»</w:t>
            </w:r>
          </w:p>
          <w:p>
            <w:pPr>
              <w:pStyle w:val="Style22"/>
              <w:widowControl w:val="false"/>
              <w:tabs>
                <w:tab w:val="left" w:pos="4491" w:leader="none"/>
              </w:tabs>
              <w:spacing w:before="0" w:after="200"/>
              <w:ind w:left="-12" w:right="0" w:hanging="0"/>
              <w:jc w:val="left"/>
              <w:textAlignment w:val="auto"/>
              <w:rPr>
                <w:rFonts w:eastAsia="Courier New Baltic" w:ascii="Times New Roman" w:hAnsi="Times New Roma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  <w:u w:val="none" w:color="000000"/>
                <w:lang w:val="ru-RU" w:eastAsia="zh-CN" w:bidi="hi-IN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lang w:val="ru-RU" w:eastAsia="ru-RU" w:bidi="ar-SA"/>
              </w:rPr>
              <w:t>Юр. адрес в соответствии с учредительными документами:</w:t>
              <w:br/>
              <w:t>123022, г. Москва, ул. Красная Пресня, дом 28, помещение № V,  комната №1</w:t>
              <w:br/>
            </w:r>
            <w:r>
              <w:rPr>
                <w:rFonts w:eastAsia="Courier New Baltic" w:ascii="Times New Roman" w:hAnsi="Times New Roma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  <w:t>Почт. адрес: 109028, г. Москва, Казарменный переулок, д.8, стр.3</w:t>
              <w:br/>
              <w:t>ИНН/КПП 7731447661/770301001, ОГРН 1137746426619</w:t>
              <w:br/>
              <w:t>Р/сч 40702810900000032072 в ОАО АКБ «АВАНГАРД»</w:t>
              <w:br/>
              <w:t>К/сч 30101810000000000201 в ОПЕРУ Московского ГТУ Банка России БИК 044525201,ОКПО 17583388, ОКАТО</w:t>
            </w:r>
            <w:r>
              <w:rPr>
                <w:rFonts w:eastAsia="Courier New Baltic" w:ascii="Times New Roman" w:hAnsi="Times New Roma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  <w:u w:val="none" w:color="000000"/>
                <w:lang w:val="ru-RU" w:eastAsia="zh-CN" w:bidi="hi-IN"/>
              </w:rPr>
              <w:t xml:space="preserve"> 45286575000</w:t>
            </w:r>
          </w:p>
        </w:tc>
      </w:tr>
      <w:tr>
        <w:trPr>
          <w:trHeight w:val="116" w:hRule="atLeast"/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имени Принципала:</w:t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3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имени Агента:</w:t>
            </w:r>
          </w:p>
        </w:tc>
      </w:tr>
      <w:tr>
        <w:trPr>
          <w:trHeight w:val="120" w:hRule="atLeast"/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  <w:t>____________________________________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/>
            </w:pPr>
            <w:r>
              <w:rPr/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3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Подпись:</w:t>
            </w:r>
          </w:p>
          <w:p>
            <w:pPr>
              <w:pStyle w:val="Normal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</w:p>
        </w:tc>
      </w:tr>
      <w:tr>
        <w:trPr>
          <w:trHeight w:val="89" w:hRule="atLeast"/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>
                <w:sz w:val="20"/>
                <w:szCs w:val="20"/>
              </w:rPr>
              <w:t>Должность:</w:t>
            </w:r>
            <w:r>
              <w:rPr/>
              <w:t xml:space="preserve"> ______________________________</w:t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3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Должность: генеральный директор Киселев Ю.В.</w:t>
            </w:r>
          </w:p>
        </w:tc>
      </w:tr>
      <w:tr>
        <w:trPr>
          <w:trHeight w:val="89" w:hRule="atLeast"/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contextualSpacing/>
              <w:rPr/>
            </w:pPr>
            <w:r>
              <w:rPr/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3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</w:tr>
    </w:tbl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</w:r>
    </w:p>
    <w:p>
      <w:pPr>
        <w:pStyle w:val="Normal"/>
        <w:widowControl/>
        <w:bidi w:val="0"/>
        <w:ind w:left="-454" w:right="0" w:hanging="0"/>
        <w:jc w:val="center"/>
        <w:rPr/>
      </w:pPr>
      <w:r>
        <w:rPr/>
        <w:t>Приложение №2 к Договору №1 от 01.02. 2016 г.</w:t>
      </w:r>
    </w:p>
    <w:p>
      <w:pPr>
        <w:pStyle w:val="Normal"/>
        <w:widowControl/>
        <w:bidi w:val="0"/>
        <w:ind w:left="-454" w:right="0" w:hanging="0"/>
        <w:jc w:val="left"/>
        <w:rPr/>
      </w:pPr>
      <w:r>
        <w:rPr/>
        <w:t>Принципал предоставляет в Агенту на цикличную реализацию в мягкую квоту в период с 01.06.2016 по 30.09.2016 след номера:</w:t>
      </w:r>
    </w:p>
    <w:p>
      <w:pPr>
        <w:pStyle w:val="Style16"/>
        <w:widowControl/>
        <w:numPr>
          <w:ilvl w:val="0"/>
          <w:numId w:val="5"/>
        </w:numPr>
        <w:bidi w:val="0"/>
        <w:jc w:val="left"/>
        <w:rPr/>
      </w:pPr>
      <w:r>
        <w:rPr/>
        <w:t xml:space="preserve">2-местный Стандарт с балконом - 6 номеров </w:t>
      </w:r>
    </w:p>
    <w:p>
      <w:pPr>
        <w:pStyle w:val="Style16"/>
        <w:widowControl/>
        <w:numPr>
          <w:ilvl w:val="0"/>
          <w:numId w:val="5"/>
        </w:numPr>
        <w:bidi w:val="0"/>
        <w:jc w:val="left"/>
        <w:rPr/>
      </w:pPr>
      <w:r>
        <w:rPr/>
        <w:t xml:space="preserve">2-местн Стандарт без балкона - 6 номеров </w:t>
      </w:r>
    </w:p>
    <w:p>
      <w:pPr>
        <w:pStyle w:val="Style16"/>
        <w:widowControl/>
        <w:numPr>
          <w:ilvl w:val="0"/>
          <w:numId w:val="5"/>
        </w:numPr>
        <w:bidi w:val="0"/>
        <w:jc w:val="left"/>
        <w:rPr/>
      </w:pPr>
      <w:r>
        <w:rPr/>
        <w:t xml:space="preserve">3-местный стандарт - 6 номеров </w:t>
      </w:r>
    </w:p>
    <w:p>
      <w:pPr>
        <w:pStyle w:val="Style16"/>
        <w:widowControl/>
        <w:numPr>
          <w:ilvl w:val="0"/>
          <w:numId w:val="5"/>
        </w:numPr>
        <w:bidi w:val="0"/>
        <w:jc w:val="left"/>
        <w:rPr/>
      </w:pPr>
      <w:r>
        <w:rPr/>
        <w:t xml:space="preserve">Студио - 2 номера </w:t>
      </w:r>
    </w:p>
    <w:p>
      <w:pPr>
        <w:pStyle w:val="Normal"/>
        <w:widowControl/>
        <w:bidi w:val="0"/>
        <w:ind w:left="-454" w:right="0" w:hanging="0"/>
        <w:jc w:val="left"/>
        <w:rPr>
          <w:b/>
          <w:bCs/>
        </w:rPr>
      </w:pPr>
      <w:r>
        <w:rPr>
          <w:b/>
          <w:bCs/>
        </w:rPr>
        <w:t>График оплат:</w:t>
      </w:r>
    </w:p>
    <w:p>
      <w:pPr>
        <w:pStyle w:val="Normal"/>
        <w:widowControl/>
        <w:numPr>
          <w:ilvl w:val="0"/>
          <w:numId w:val="6"/>
        </w:numPr>
        <w:bidi w:val="0"/>
        <w:jc w:val="left"/>
        <w:rPr/>
      </w:pPr>
      <w:bookmarkStart w:id="9" w:name="__DdeLink__401_477137197"/>
      <w:bookmarkEnd w:id="9"/>
      <w:r>
        <w:rPr/>
        <w:t>250 000,00 руб(двести пятьдесят тысяч рублей) — до 26.02.2016 года</w:t>
      </w:r>
    </w:p>
    <w:p>
      <w:pPr>
        <w:pStyle w:val="Normal"/>
        <w:widowControl/>
        <w:numPr>
          <w:ilvl w:val="0"/>
          <w:numId w:val="6"/>
        </w:numPr>
        <w:bidi w:val="0"/>
        <w:jc w:val="left"/>
        <w:rPr/>
      </w:pPr>
      <w:r>
        <w:rPr/>
        <w:t>250 000,00 руб(двести пятьдесят тысяч рублей) — до 25.03.2016 года</w:t>
      </w:r>
    </w:p>
    <w:p>
      <w:pPr>
        <w:pStyle w:val="Normal"/>
        <w:widowControl/>
        <w:bidi w:val="0"/>
        <w:ind w:left="-454" w:right="0" w:hanging="0"/>
        <w:jc w:val="left"/>
        <w:rPr/>
      </w:pPr>
      <w:r>
        <w:rPr>
          <w:b/>
          <w:bCs/>
        </w:rPr>
        <w:t>Релиз-период  - 10 дней</w:t>
      </w:r>
      <w:r>
        <w:rPr/>
        <w:t>(за десять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с согласием и подтверждения Принципала).</w:t>
      </w:r>
    </w:p>
    <w:p>
      <w:pPr>
        <w:pStyle w:val="Normal"/>
        <w:widowControl/>
        <w:bidi w:val="0"/>
        <w:ind w:left="-454" w:right="0" w:hanging="0"/>
        <w:jc w:val="lef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424" w:header="0" w:top="2836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Arial">
    <w:altName w:val="Tahoma"/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tabs>
        <w:tab w:val="center" w:pos="4677" w:leader="none"/>
        <w:tab w:val="right" w:pos="9355" w:leader="none"/>
        <w:tab w:val="right" w:pos="10206" w:leader="none"/>
      </w:tabs>
      <w:rPr>
        <w:sz w:val="20"/>
        <w:szCs w:val="20"/>
      </w:rPr>
    </w:pPr>
    <w:r>
      <w:rPr>
        <w:sz w:val="20"/>
        <w:szCs w:val="20"/>
      </w:rPr>
      <w:t>Принципал____________________</w:t>
    </w:r>
    <w:r>
      <w:rPr>
        <w:sz w:val="20"/>
        <w:szCs w:val="20"/>
        <w:lang w:val="en-US"/>
      </w:rPr>
      <w:tab/>
      <w:t xml:space="preserve">                                Агент</w:t>
    </w:r>
    <w:r>
      <w:rPr>
        <w:sz w:val="20"/>
        <w:szCs w:val="20"/>
      </w:rPr>
      <w:t>____________________</w:t>
    </w:r>
  </w:p>
  <w:p>
    <w:pPr>
      <w:pStyle w:val="Style21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10</w:t>
    </w:r>
    <w:r>
      <w:fldChar w:fldCharType="end"/>
    </w:r>
  </w:p>
  <w:p>
    <w:pPr>
      <w:pStyle w:val="Style21"/>
      <w:ind w:left="-1701" w:right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ind w:left="-1701" w:right="0" w:hanging="0"/>
      <w:rPr/>
    </w:pPr>
    <w:r>
      <w:rPr/>
      <w:drawing>
        <wp:anchor behindDoc="1" distT="0" distB="0" distL="114300" distR="114300" simplePos="0" locked="0" layoutInCell="1" allowOverlap="1" relativeHeight="10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560310" cy="1757045"/>
          <wp:effectExtent l="0" t="0" r="0" b="0"/>
          <wp:wrapNone/>
          <wp:docPr id="0" name="Picture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227"/>
        </w:tabs>
        <w:ind w:left="0" w:hanging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hanging="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0" w:hanging="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266"/>
        </w:tabs>
        <w:ind w:left="26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626"/>
        </w:tabs>
        <w:ind w:left="62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986"/>
        </w:tabs>
        <w:ind w:left="98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346"/>
        </w:tabs>
        <w:ind w:left="134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706"/>
        </w:tabs>
        <w:ind w:left="170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066"/>
        </w:tabs>
        <w:ind w:left="206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786"/>
        </w:tabs>
        <w:ind w:left="278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146"/>
        </w:tabs>
        <w:ind w:left="3146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unhideWhenUsed="1" w:semiHidden="1" w:qFormat="1" w:uiPriority="9" w:name="heading 2"/>
    <w:lsdException w:unhideWhenUsed="1" w:semiHidden="1" w:qFormat="1" w:uiPriority="9" w:name="heading 3"/>
    <w:lsdException w:unhideWhenUsed="1" w:semiHidden="1" w:qFormat="1" w:uiPriority="9" w:name="heading 4"/>
    <w:lsdException w:unhideWhenUsed="1" w:semiHidden="1" w:qFormat="1" w:uiPriority="9" w:name="heading 5"/>
    <w:lsdException w:unhideWhenUsed="1" w:semiHidden="1" w:qFormat="1" w:uiPriority="9" w:name="heading 6"/>
    <w:lsdException w:unhideWhenUsed="1" w:semiHidden="1" w:qFormat="1" w:uiPriority="9" w:name="heading 7"/>
    <w:lsdException w:unhideWhenUsed="1" w:semiHidden="1" w:qFormat="1" w:uiPriority="9" w:name="heading 8"/>
    <w:lsdException w:unhideWhenUsed="1" w:semiHidden="1" w:qFormat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qFormat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unhideWhenUsed="1" w:semiHidden="1" w:qFormat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erChar" w:customStyle="1">
    <w:name w:val="Header Char"/>
    <w:uiPriority w:val="99"/>
    <w:link w:val="Header"/>
    <w:rsid w:val="00a3668d"/>
    <w:basedOn w:val="DefaultParagraphFont"/>
    <w:rPr/>
  </w:style>
  <w:style w:type="character" w:styleId="FooterChar" w:customStyle="1">
    <w:name w:val="Footer Char"/>
    <w:uiPriority w:val="99"/>
    <w:link w:val="Footer"/>
    <w:rsid w:val="00a3668d"/>
    <w:basedOn w:val="DefaultParagraphFont"/>
    <w:rPr/>
  </w:style>
  <w:style w:type="character" w:styleId="BalloonTextChar" w:customStyle="1">
    <w:name w:val="Balloon Text Char"/>
    <w:uiPriority w:val="99"/>
    <w:semiHidden/>
    <w:link w:val="BalloonText"/>
    <w:rsid w:val="00a3668d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b/>
      <w:bCs/>
    </w:rPr>
  </w:style>
  <w:style w:type="character" w:styleId="ListLabel2">
    <w:name w:val="ListLabel 2"/>
    <w:rPr>
      <w:rFonts w:cs="Courier New"/>
    </w:rPr>
  </w:style>
  <w:style w:type="character" w:styleId="WW8Num6z0">
    <w:name w:val="WW8Num6z0"/>
    <w:rPr>
      <w:b/>
      <w:bCs/>
      <w:iCs/>
      <w:color w:val="000000"/>
      <w:spacing w:val="2"/>
      <w:sz w:val="21"/>
      <w:szCs w:val="21"/>
    </w:rPr>
  </w:style>
  <w:style w:type="character" w:styleId="WW8Num6z1">
    <w:name w:val="WW8Num6z1"/>
    <w:rPr>
      <w:b w:val="false"/>
      <w:iCs/>
      <w:color w:val="000000"/>
      <w:spacing w:val="2"/>
      <w:sz w:val="21"/>
      <w:szCs w:val="21"/>
    </w:rPr>
  </w:style>
  <w:style w:type="character" w:styleId="WW8Num6z2">
    <w:name w:val="WW8Num6z2"/>
    <w:rPr>
      <w:iCs/>
      <w:spacing w:val="-2"/>
      <w:sz w:val="21"/>
      <w:szCs w:val="21"/>
    </w:rPr>
  </w:style>
  <w:style w:type="character" w:styleId="WW8Num6z3">
    <w:name w:val="WW8Num6z3"/>
    <w:rPr/>
  </w:style>
  <w:style w:type="character" w:styleId="WW8Num6z4">
    <w:name w:val="WW8Num6z4"/>
    <w:rPr/>
  </w:style>
  <w:style w:type="character" w:styleId="WW8Num6z5">
    <w:name w:val="WW8Num6z5"/>
    <w:rPr/>
  </w:style>
  <w:style w:type="character" w:styleId="WW8Num6z6">
    <w:name w:val="WW8Num6z6"/>
    <w:rPr/>
  </w:style>
  <w:style w:type="character" w:styleId="WW8Num6z7">
    <w:name w:val="WW8Num6z7"/>
    <w:rPr/>
  </w:style>
  <w:style w:type="character" w:styleId="WW8Num6z8">
    <w:name w:val="WW8Num6z8"/>
    <w:rPr/>
  </w:style>
  <w:style w:type="character" w:styleId="Style14">
    <w:name w:val="Маркеры списка"/>
    <w:rPr>
      <w:rFonts w:ascii="OpenSymbol" w:hAnsi="OpenSymbol" w:eastAsia="OpenSymbol" w:cs="OpenSymbol"/>
    </w:rPr>
  </w:style>
  <w:style w:type="character" w:styleId="ListLabel3">
    <w:name w:val="ListLabel 3"/>
    <w:rPr>
      <w:b/>
      <w:bCs/>
    </w:rPr>
  </w:style>
  <w:style w:type="character" w:styleId="ListLabel4">
    <w:name w:val="ListLabel 4"/>
    <w:rPr>
      <w:rFonts w:cs="Symbol"/>
    </w:rPr>
  </w:style>
  <w:style w:type="character" w:styleId="ListLabel5">
    <w:name w:val="ListLabel 5"/>
    <w:rPr>
      <w:rFonts w:cs="Courier New"/>
    </w:rPr>
  </w:style>
  <w:style w:type="character" w:styleId="ListLabel6">
    <w:name w:val="ListLabel 6"/>
    <w:rPr>
      <w:rFonts w:cs="Wingdings"/>
    </w:rPr>
  </w:style>
  <w:style w:type="character" w:styleId="ListLabel7">
    <w:name w:val="ListLabel 7"/>
    <w:rPr>
      <w:rFonts w:cs="OpenSymbol"/>
    </w:rPr>
  </w:style>
  <w:style w:type="character" w:styleId="ListLabel8">
    <w:name w:val="ListLabel 8"/>
    <w:rPr>
      <w:b/>
      <w:bCs/>
    </w:rPr>
  </w:style>
  <w:style w:type="character" w:styleId="ListLabel9">
    <w:name w:val="ListLabel 9"/>
    <w:rPr>
      <w:rFonts w:cs="Symbol"/>
    </w:rPr>
  </w:style>
  <w:style w:type="character" w:styleId="ListLabel10">
    <w:name w:val="ListLabel 10"/>
    <w:rPr>
      <w:rFonts w:cs="Courier New"/>
    </w:rPr>
  </w:style>
  <w:style w:type="character" w:styleId="ListLabel11">
    <w:name w:val="ListLabel 11"/>
    <w:rPr>
      <w:rFonts w:cs="Wingdings"/>
    </w:rPr>
  </w:style>
  <w:style w:type="character" w:styleId="ListLabel12">
    <w:name w:val="ListLabel 12"/>
    <w:rPr>
      <w:b/>
      <w:bCs/>
    </w:rPr>
  </w:style>
  <w:style w:type="character" w:styleId="ListLabel13">
    <w:name w:val="ListLabel 13"/>
    <w:rPr>
      <w:rFonts w:cs="Symbol"/>
    </w:rPr>
  </w:style>
  <w:style w:type="character" w:styleId="ListLabel14">
    <w:name w:val="ListLabel 14"/>
    <w:rPr>
      <w:rFonts w:cs="Courier New"/>
    </w:rPr>
  </w:style>
  <w:style w:type="character" w:styleId="ListLabel15">
    <w:name w:val="ListLabel 15"/>
    <w:rPr>
      <w:rFonts w:cs="Wingdings"/>
    </w:rPr>
  </w:style>
  <w:style w:type="character" w:styleId="ListLabel16">
    <w:name w:val="ListLabel 16"/>
    <w:rPr>
      <w:b/>
      <w:bCs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Courier New"/>
    </w:rPr>
  </w:style>
  <w:style w:type="character" w:styleId="ListLabel19">
    <w:name w:val="ListLabel 19"/>
    <w:rPr>
      <w:rFonts w:cs="Wingdings"/>
    </w:rPr>
  </w:style>
  <w:style w:type="character" w:styleId="ListLabel20">
    <w:name w:val="ListLabel 20"/>
    <w:rPr>
      <w:b/>
      <w:bCs/>
    </w:rPr>
  </w:style>
  <w:style w:type="character" w:styleId="ListLabel21">
    <w:name w:val="ListLabel 21"/>
    <w:rPr>
      <w:rFonts w:cs="Symbol"/>
    </w:rPr>
  </w:style>
  <w:style w:type="character" w:styleId="ListLabel22">
    <w:name w:val="ListLabel 22"/>
    <w:rPr>
      <w:rFonts w:cs="Courier New"/>
    </w:rPr>
  </w:style>
  <w:style w:type="character" w:styleId="ListLabel23">
    <w:name w:val="ListLabel 23"/>
    <w:rPr>
      <w:rFonts w:cs="Wingdings"/>
    </w:rPr>
  </w:style>
  <w:style w:type="character" w:styleId="ListLabel24">
    <w:name w:val="ListLabel 24"/>
    <w:rPr>
      <w:b/>
      <w:bCs/>
    </w:rPr>
  </w:style>
  <w:style w:type="character" w:styleId="ListLabel25">
    <w:name w:val="ListLabel 25"/>
    <w:rPr>
      <w:rFonts w:cs="Symbol"/>
    </w:rPr>
  </w:style>
  <w:style w:type="character" w:styleId="ListLabel26">
    <w:name w:val="ListLabel 26"/>
    <w:rPr>
      <w:rFonts w:cs="Courier New"/>
    </w:rPr>
  </w:style>
  <w:style w:type="character" w:styleId="ListLabel27">
    <w:name w:val="ListLabel 27"/>
    <w:rPr>
      <w:rFonts w:cs="Wingdings"/>
    </w:rPr>
  </w:style>
  <w:style w:type="character" w:styleId="ListLabel28">
    <w:name w:val="ListLabel 28"/>
    <w:rPr>
      <w:b/>
      <w:bCs/>
    </w:rPr>
  </w:style>
  <w:style w:type="character" w:styleId="ListLabel29">
    <w:name w:val="ListLabel 29"/>
    <w:rPr>
      <w:rFonts w:cs="Symbol"/>
    </w:rPr>
  </w:style>
  <w:style w:type="character" w:styleId="ListLabel30">
    <w:name w:val="ListLabel 30"/>
    <w:rPr>
      <w:rFonts w:cs="Courier New"/>
    </w:rPr>
  </w:style>
  <w:style w:type="character" w:styleId="ListLabel31">
    <w:name w:val="ListLabel 31"/>
    <w:rPr>
      <w:rFonts w:cs="Wingdings"/>
    </w:rPr>
  </w:style>
  <w:style w:type="character" w:styleId="ListLabel32">
    <w:name w:val="ListLabel 32"/>
    <w:rPr>
      <w:b/>
      <w:bCs/>
    </w:rPr>
  </w:style>
  <w:style w:type="character" w:styleId="ListLabel33">
    <w:name w:val="ListLabel 33"/>
    <w:rPr>
      <w:rFonts w:cs="Symbol"/>
    </w:rPr>
  </w:style>
  <w:style w:type="character" w:styleId="ListLabel34">
    <w:name w:val="ListLabel 34"/>
    <w:rPr>
      <w:rFonts w:cs="Courier New"/>
    </w:rPr>
  </w:style>
  <w:style w:type="character" w:styleId="ListLabel35">
    <w:name w:val="ListLabel 35"/>
    <w:rPr>
      <w:rFonts w:cs="Wingdings"/>
    </w:rPr>
  </w:style>
  <w:style w:type="character" w:styleId="ListLabel36">
    <w:name w:val="ListLabel 36"/>
    <w:rPr>
      <w:b/>
      <w:bCs/>
    </w:rPr>
  </w:style>
  <w:style w:type="character" w:styleId="ListLabel37">
    <w:name w:val="ListLabel 37"/>
    <w:rPr>
      <w:rFonts w:cs="Symbol"/>
    </w:rPr>
  </w:style>
  <w:style w:type="character" w:styleId="ListLabel38">
    <w:name w:val="ListLabel 38"/>
    <w:rPr>
      <w:rFonts w:cs="Courier New"/>
    </w:rPr>
  </w:style>
  <w:style w:type="character" w:styleId="ListLabel39">
    <w:name w:val="ListLabel 39"/>
    <w:rPr>
      <w:rFonts w:cs="Wingdings"/>
    </w:rPr>
  </w:style>
  <w:style w:type="character" w:styleId="ListLabel40">
    <w:name w:val="ListLabel 40"/>
    <w:rPr>
      <w:b/>
      <w:bCs/>
    </w:rPr>
  </w:style>
  <w:style w:type="character" w:styleId="ListLabel41">
    <w:name w:val="ListLabel 41"/>
    <w:rPr>
      <w:rFonts w:cs="Symbol"/>
    </w:rPr>
  </w:style>
  <w:style w:type="character" w:styleId="ListLabel42">
    <w:name w:val="ListLabel 42"/>
    <w:rPr>
      <w:rFonts w:cs="Courier New"/>
    </w:rPr>
  </w:style>
  <w:style w:type="character" w:styleId="ListLabel43">
    <w:name w:val="ListLabel 43"/>
    <w:rPr>
      <w:rFonts w:cs="Wingdings"/>
    </w:rPr>
  </w:style>
  <w:style w:type="character" w:styleId="FontStyle18">
    <w:name w:val="Font Style18"/>
    <w:rPr>
      <w:rFonts w:ascii="Times New Roman" w:hAnsi="Times New Roman" w:cs="Times New Roman"/>
      <w:sz w:val="22"/>
      <w:szCs w:val="22"/>
    </w:rPr>
  </w:style>
  <w:style w:type="character" w:styleId="ListLabel44">
    <w:name w:val="ListLabel 44"/>
    <w:rPr>
      <w:b/>
      <w:bCs/>
    </w:rPr>
  </w:style>
  <w:style w:type="character" w:styleId="ListLabel45">
    <w:name w:val="ListLabel 45"/>
    <w:rPr>
      <w:rFonts w:cs="Symbol"/>
    </w:rPr>
  </w:style>
  <w:style w:type="character" w:styleId="ListLabel46">
    <w:name w:val="ListLabel 46"/>
    <w:rPr>
      <w:rFonts w:cs="Courier New"/>
    </w:rPr>
  </w:style>
  <w:style w:type="character" w:styleId="ListLabel47">
    <w:name w:val="ListLabel 47"/>
    <w:rPr>
      <w:rFonts w:cs="Wingdings"/>
    </w:rPr>
  </w:style>
  <w:style w:type="character" w:styleId="ListLabel48">
    <w:name w:val="ListLabel 48"/>
    <w:rPr>
      <w:b/>
      <w:bCs/>
    </w:rPr>
  </w:style>
  <w:style w:type="character" w:styleId="ListLabel49">
    <w:name w:val="ListLabel 49"/>
    <w:rPr>
      <w:rFonts w:cs="Symbol"/>
    </w:rPr>
  </w:style>
  <w:style w:type="character" w:styleId="ListLabel50">
    <w:name w:val="ListLabel 50"/>
    <w:rPr>
      <w:rFonts w:cs="Courier New"/>
    </w:rPr>
  </w:style>
  <w:style w:type="character" w:styleId="ListLabel51">
    <w:name w:val="ListLabel 51"/>
    <w:rPr>
      <w:rFonts w:cs="Wingdings"/>
    </w:rPr>
  </w:style>
  <w:style w:type="character" w:styleId="ListLabel52">
    <w:name w:val="ListLabel 52"/>
    <w:rPr>
      <w:b/>
      <w:bCs/>
    </w:rPr>
  </w:style>
  <w:style w:type="character" w:styleId="ListLabel53">
    <w:name w:val="ListLabel 53"/>
    <w:rPr>
      <w:rFonts w:cs="Symbol"/>
    </w:rPr>
  </w:style>
  <w:style w:type="character" w:styleId="ListLabel54">
    <w:name w:val="ListLabel 54"/>
    <w:rPr>
      <w:rFonts w:cs="Courier New"/>
    </w:rPr>
  </w:style>
  <w:style w:type="character" w:styleId="ListLabel55">
    <w:name w:val="ListLabel 55"/>
    <w:rPr>
      <w:rFonts w:cs="Wingdings"/>
    </w:rPr>
  </w:style>
  <w:style w:type="character" w:styleId="ListLabel56">
    <w:name w:val="ListLabel 56"/>
    <w:rPr>
      <w:rFonts w:cs="OpenSymbol"/>
    </w:rPr>
  </w:style>
  <w:style w:type="character" w:styleId="ListLabel57">
    <w:name w:val="ListLabel 57"/>
    <w:rPr>
      <w:b/>
      <w:bCs/>
    </w:rPr>
  </w:style>
  <w:style w:type="character" w:styleId="ListLabel58">
    <w:name w:val="ListLabel 58"/>
    <w:rPr>
      <w:rFonts w:cs="Symbol"/>
    </w:rPr>
  </w:style>
  <w:style w:type="character" w:styleId="ListLabel59">
    <w:name w:val="ListLabel 59"/>
    <w:rPr>
      <w:rFonts w:cs="Courier New"/>
    </w:rPr>
  </w:style>
  <w:style w:type="character" w:styleId="ListLabel60">
    <w:name w:val="ListLabel 60"/>
    <w:rPr>
      <w:rFonts w:cs="Wingdings"/>
    </w:rPr>
  </w:style>
  <w:style w:type="character" w:styleId="ListLabel61">
    <w:name w:val="ListLabel 61"/>
    <w:rPr>
      <w:rFonts w:cs="OpenSymbol"/>
    </w:rPr>
  </w:style>
  <w:style w:type="character" w:styleId="ListLabel62">
    <w:name w:val="ListLabel 62"/>
    <w:rPr>
      <w:b/>
      <w:bCs/>
    </w:rPr>
  </w:style>
  <w:style w:type="character" w:styleId="ListLabel63">
    <w:name w:val="ListLabel 63"/>
    <w:rPr>
      <w:rFonts w:cs="Symbol"/>
    </w:rPr>
  </w:style>
  <w:style w:type="character" w:styleId="ListLabel64">
    <w:name w:val="ListLabel 64"/>
    <w:rPr>
      <w:rFonts w:cs="Courier New"/>
    </w:rPr>
  </w:style>
  <w:style w:type="character" w:styleId="ListLabel65">
    <w:name w:val="ListLabel 65"/>
    <w:rPr>
      <w:rFonts w:cs="Wingdings"/>
    </w:rPr>
  </w:style>
  <w:style w:type="character" w:styleId="ListLabel66">
    <w:name w:val="ListLabel 66"/>
    <w:rPr>
      <w:rFonts w:cs="OpenSymbol"/>
    </w:rPr>
  </w:style>
  <w:style w:type="character" w:styleId="ListLabel67">
    <w:name w:val="ListLabel 67"/>
    <w:rPr>
      <w:b/>
      <w:bCs/>
    </w:rPr>
  </w:style>
  <w:style w:type="character" w:styleId="ListLabel68">
    <w:name w:val="ListLabel 68"/>
    <w:rPr>
      <w:rFonts w:cs="Symbol"/>
    </w:rPr>
  </w:style>
  <w:style w:type="character" w:styleId="ListLabel69">
    <w:name w:val="ListLabel 69"/>
    <w:rPr>
      <w:rFonts w:cs="Courier New"/>
    </w:rPr>
  </w:style>
  <w:style w:type="character" w:styleId="ListLabel70">
    <w:name w:val="ListLabel 70"/>
    <w:rPr>
      <w:rFonts w:cs="Wingdings"/>
    </w:rPr>
  </w:style>
  <w:style w:type="character" w:styleId="ListLabel71">
    <w:name w:val="ListLabel 71"/>
    <w:rPr>
      <w:rFonts w:cs="OpenSymbol"/>
    </w:rPr>
  </w:style>
  <w:style w:type="character" w:styleId="ListLabel72">
    <w:name w:val="ListLabel 72"/>
    <w:rPr>
      <w:b/>
      <w:bCs/>
    </w:rPr>
  </w:style>
  <w:style w:type="character" w:styleId="ListLabel73">
    <w:name w:val="ListLabel 73"/>
    <w:rPr>
      <w:rFonts w:cs="Symbol"/>
    </w:rPr>
  </w:style>
  <w:style w:type="character" w:styleId="ListLabel74">
    <w:name w:val="ListLabel 74"/>
    <w:rPr>
      <w:rFonts w:cs="Courier New"/>
    </w:rPr>
  </w:style>
  <w:style w:type="character" w:styleId="ListLabel75">
    <w:name w:val="ListLabel 75"/>
    <w:rPr>
      <w:rFonts w:cs="Wingdings"/>
    </w:rPr>
  </w:style>
  <w:style w:type="character" w:styleId="ListLabel76">
    <w:name w:val="ListLabel 76"/>
    <w:rPr>
      <w:rFonts w:cs="OpenSymbol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Style20">
    <w:name w:val="Верхний колонтитул"/>
    <w:uiPriority w:val="99"/>
    <w:unhideWhenUsed/>
    <w:link w:val="HeaderChar"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Нижний колонтитул"/>
    <w:uiPriority w:val="99"/>
    <w:unhideWhenUsed/>
    <w:link w:val="FooterChar"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BalloonTextChar"/>
    <w:rsid w:val="00a3668d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fe1add"/>
    <w:basedOn w:val="Normal"/>
    <w:pPr>
      <w:spacing w:lineRule="auto" w:line="252" w:before="0" w:after="160"/>
      <w:ind w:left="720" w:right="0" w:hanging="0"/>
      <w:contextualSpacing/>
    </w:pPr>
    <w:rPr/>
  </w:style>
  <w:style w:type="paragraph" w:styleId="Style22">
    <w:name w:val="Таблицы (моноширинный)"/>
    <w:pPr>
      <w:widowControl w:val="false"/>
      <w:suppressAutoHyphens w:val="true"/>
      <w:bidi w:val="0"/>
      <w:spacing w:lineRule="auto" w:line="276" w:before="0" w:after="200"/>
      <w:ind w:left="0" w:right="0" w:hanging="0"/>
      <w:jc w:val="both"/>
      <w:textAlignment w:val="auto"/>
    </w:pPr>
    <w:rPr>
      <w:rFonts w:ascii="Courier New" w:hAnsi="Courier New" w:eastAsia="Liberation Serif" w:cs="Liberation Serif"/>
      <w:color w:val="000000"/>
      <w:sz w:val="20"/>
      <w:szCs w:val="20"/>
      <w:lang w:val="ru-RU" w:eastAsia="ru-RU" w:bidi="ar-SA"/>
    </w:rPr>
  </w:style>
  <w:style w:type="paragraph" w:styleId="Style23">
    <w:name w:val="Содержимое таблицы"/>
    <w:basedOn w:val="Normal"/>
    <w:pPr>
      <w:suppressLineNumbers/>
    </w:pPr>
    <w:rPr/>
  </w:style>
  <w:style w:type="paragraph" w:styleId="Style24">
    <w:name w:val="Заголовок таблицы"/>
    <w:basedOn w:val="Style23"/>
    <w:pPr/>
    <w:rPr/>
  </w:style>
  <w:style w:type="numbering" w:styleId="NoList" w:default="1">
    <w:name w:val="No List"/>
    <w:uiPriority w:val="99"/>
    <w:semiHidden/>
    <w:unhideWhenUsed/>
  </w:style>
  <w:style w:type="numbering" w:styleId="WW8Num6">
    <w:name w:val="WW8Num6"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e1add"/>
    <w:pPr>
      <w:spacing w:lineRule="auto" w:after="0" w:line="24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A0E00-AE3A-46A1-985B-445B1747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2015-02-22T13:07:00Z</dcterms:created>
  <dc:creator>Maria Korikova</dc:creator>
  <dc:language>ru-RU</dc:language>
  <cp:lastModifiedBy>Alexey Zalivin</cp:lastModifiedBy>
  <cp:lastPrinted>2016-01-14T12:55:47Z</cp:lastPrinted>
  <dcterms:modified xsi:type="dcterms:W3CDTF">2015-03-10T21:47:00Z</dcterms:modified>
  <cp:revision>20</cp:revision>
</cp:coreProperties>
</file>